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82026_090237.xml.htm"/>
      <w:bookmarkStart w:id="1" w:name="ksform402182026_0902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Nelly Christian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LOUISIANA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ENTERPRISE PRODUCTS PARTNERS L.P.</w:t>
              </w:r>
            </w:hyperlink>
            <w:r>
              <w:rPr/>
              <w:t xml:space="preserve"> [ </w:t>
            </w:r>
            <w:r>
              <w:rPr>
                <w:rFonts w:ascii="Times;serif" w:hAnsi="Times;serif"/>
                <w:color w:val="0000FF"/>
                <w:sz w:val="24"/>
                <w:shd w:fill="FFFFFF" w:val="clear"/>
              </w:rPr>
              <w:t>EPD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EVP-FIN/SUSTAIN. AND TREASURER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3"/>
        <w:gridCol w:w="926"/>
        <w:gridCol w:w="799"/>
        <w:gridCol w:w="615"/>
        <w:gridCol w:w="327"/>
        <w:gridCol w:w="873"/>
        <w:gridCol w:w="377"/>
        <w:gridCol w:w="730"/>
        <w:gridCol w:w="1087"/>
        <w:gridCol w:w="916"/>
        <w:gridCol w:w="16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289,052</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8,362</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280,690</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23,125</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303,815</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9,100</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294,715</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22,750</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317,465</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8,953</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308,512</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19,400</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327,912</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7,634</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0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320,278</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20,000.5</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Mother-In-Law</w:t>
            </w:r>
            <w:r>
              <w:rPr>
                <w:rFonts w:ascii="Times;serif" w:hAnsi="Times;serif"/>
                <w:color w:val="008000"/>
                <w:position w:val="7"/>
                <w:sz w:val="16"/>
                <w:sz w:val="20"/>
                <w:shd w:fill="FFFFFF" w:val="clear"/>
              </w:rPr>
              <w:t>(2)</w:t>
            </w:r>
            <w:r>
              <w:rPr/>
              <w:t xml:space="preserve"> </w:t>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(8)</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EPD common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common units are held for the benefit of the specified member of the reporting person's immediate family. The reporting person disclaims beneficial ownership of these common units, except to the extent of his pecuniary interest,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vested in one remaining annual installment on February 16, 2026. The remaining annual installment expired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phantom units vest in two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phantom units vest in three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phantom units vest in four equal annual installments beginning on February 16, 2026.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phantom units vest in four equal annual installments beginning on February 16, 2027.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power of attorney under which this form was signed is on file with the Commission.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Transaction Code M - Exercise or conversion of derivative security exempted pursuant to Rule 16b-3; Transaction Code F - Payment of exercise price or tax liability by delivering or withholding securities incident to the receipt, exercise or vesting of a security issued in accordance with Rule 16b-3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W. Dickson, Attorney-in-Fact on Behalf of Christian M. Nelly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849" TargetMode="External"/><Relationship Id="rId5" Type="http://schemas.openxmlformats.org/officeDocument/2006/relationships/hyperlink" Target="http://www.sec.gov/cgi-bin/browse-edgar?action=getcompany&amp;CIK=0001061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5641</Characters>
  <CharactersWithSpaces>6509</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