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233680</wp:posOffset>
            </wp:positionH>
            <wp:positionV relativeFrom="page">
              <wp:posOffset>791845</wp:posOffset>
            </wp:positionV>
            <wp:extent cx="70808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0885" cy="8890"/>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817880</wp:posOffset>
            </wp:positionV>
            <wp:extent cx="708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ind w:left="3760" w:right="2800" w:hanging="950"/>
        <w:spacing w:after="0" w:line="286" w:lineRule="auto"/>
        <w:tabs>
          <w:tab w:leader="none" w:pos="30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2026</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3760" w:right="2800" w:hanging="955"/>
        <w:spacing w:after="0" w:line="286" w:lineRule="auto"/>
        <w:tabs>
          <w:tab w:leader="none" w:pos="305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transition period from ___ to ___.</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1-14323</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ENTERPRISE PRODUCTS PARTNERS L.P.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tbl>
      <w:tblPr>
        <w:tblLayout w:type="fixed"/>
        <w:tblInd w:w="74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520" w:type="dxa"/>
            <w:vAlign w:val="bottom"/>
            <w:gridSpan w:val="2"/>
          </w:tcPr>
          <w:p>
            <w:pPr>
              <w:jc w:val="center"/>
              <w:ind w:left="6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120" w:type="dxa"/>
            <w:vAlign w:val="bottom"/>
            <w:gridSpan w:val="2"/>
          </w:tcPr>
          <w:p>
            <w:pPr>
              <w:jc w:val="right"/>
              <w:ind w:right="1408"/>
              <w:spacing w:after="0"/>
              <w:rPr>
                <w:sz w:val="20"/>
                <w:szCs w:val="20"/>
                <w:color w:val="auto"/>
              </w:rPr>
            </w:pPr>
            <w:r>
              <w:rPr>
                <w:rFonts w:ascii="Times New Roman" w:cs="Times New Roman" w:eastAsia="Times New Roman" w:hAnsi="Times New Roman"/>
                <w:sz w:val="18"/>
                <w:szCs w:val="18"/>
                <w:b w:val="1"/>
                <w:bCs w:val="1"/>
                <w:color w:val="auto"/>
              </w:rPr>
              <w:t>76-0568219</w:t>
            </w:r>
          </w:p>
        </w:tc>
      </w:tr>
      <w:tr>
        <w:trPr>
          <w:trHeight w:val="220"/>
        </w:trPr>
        <w:tc>
          <w:tcPr>
            <w:tcW w:w="6800" w:type="dxa"/>
            <w:vAlign w:val="bottom"/>
            <w:gridSpan w:val="6"/>
          </w:tcPr>
          <w:p>
            <w:pPr>
              <w:jc w:val="center"/>
              <w:ind w:right="32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120" w:type="dxa"/>
            <w:vAlign w:val="bottom"/>
            <w:gridSpan w:val="2"/>
          </w:tcPr>
          <w:p>
            <w:pPr>
              <w:jc w:val="center"/>
              <w:ind w:right="64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96"/>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left="699"/>
              <w:spacing w:after="0"/>
              <w:rPr>
                <w:sz w:val="20"/>
                <w:szCs w:val="20"/>
                <w:color w:val="auto"/>
              </w:rPr>
            </w:pPr>
            <w:r>
              <w:rPr>
                <w:rFonts w:ascii="Times New Roman" w:cs="Times New Roman" w:eastAsia="Times New Roman" w:hAnsi="Times New Roman"/>
                <w:sz w:val="18"/>
                <w:szCs w:val="18"/>
                <w:b w:val="1"/>
                <w:bCs w:val="1"/>
                <w:color w:val="auto"/>
                <w:w w:val="99"/>
              </w:rPr>
              <w:t>1100 Louisiana Street, 10th Floor</w:t>
            </w:r>
          </w:p>
        </w:tc>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70"/>
        </w:trPr>
        <w:tc>
          <w:tcPr>
            <w:tcW w:w="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20" w:type="dxa"/>
            <w:vAlign w:val="bottom"/>
            <w:gridSpan w:val="3"/>
          </w:tcPr>
          <w:p>
            <w:pPr>
              <w:jc w:val="center"/>
              <w:ind w:left="719"/>
              <w:spacing w:after="0"/>
              <w:rPr>
                <w:sz w:val="20"/>
                <w:szCs w:val="20"/>
                <w:color w:val="auto"/>
              </w:rPr>
            </w:pPr>
            <w:r>
              <w:rPr>
                <w:rFonts w:ascii="Times New Roman" w:cs="Times New Roman" w:eastAsia="Times New Roman" w:hAnsi="Times New Roman"/>
                <w:sz w:val="18"/>
                <w:szCs w:val="18"/>
                <w:b w:val="1"/>
                <w:bCs w:val="1"/>
                <w:color w:val="auto"/>
                <w:w w:val="98"/>
              </w:rPr>
              <w:t>Houston, Texas 77002</w:t>
            </w:r>
          </w:p>
        </w:tc>
        <w:tc>
          <w:tcPr>
            <w:tcW w:w="420" w:type="dxa"/>
            <w:vAlign w:val="bottom"/>
          </w:tcPr>
          <w:p>
            <w:pPr>
              <w:spacing w:after="0"/>
              <w:rPr>
                <w:sz w:val="23"/>
                <w:szCs w:val="23"/>
                <w:color w:val="auto"/>
              </w:rPr>
            </w:pPr>
          </w:p>
        </w:tc>
        <w:tc>
          <w:tcPr>
            <w:tcW w:w="2700" w:type="dxa"/>
            <w:vAlign w:val="bottom"/>
          </w:tcPr>
          <w:p>
            <w:pPr>
              <w:spacing w:after="0"/>
              <w:rPr>
                <w:sz w:val="23"/>
                <w:szCs w:val="23"/>
                <w:color w:val="auto"/>
              </w:rPr>
            </w:pPr>
          </w:p>
        </w:tc>
      </w:tr>
      <w:tr>
        <w:trPr>
          <w:trHeight w:val="220"/>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tc>
        <w:tc>
          <w:tcPr>
            <w:tcW w:w="4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80"/>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20" w:type="dxa"/>
            <w:vAlign w:val="bottom"/>
            <w:gridSpan w:val="3"/>
          </w:tcPr>
          <w:p>
            <w:pPr>
              <w:jc w:val="center"/>
              <w:ind w:left="699"/>
              <w:spacing w:after="0"/>
              <w:rPr>
                <w:sz w:val="20"/>
                <w:szCs w:val="20"/>
                <w:color w:val="auto"/>
              </w:rPr>
            </w:pPr>
            <w:r>
              <w:rPr>
                <w:rFonts w:ascii="Times New Roman" w:cs="Times New Roman" w:eastAsia="Times New Roman" w:hAnsi="Times New Roman"/>
                <w:sz w:val="18"/>
                <w:szCs w:val="18"/>
                <w:b w:val="1"/>
                <w:bCs w:val="1"/>
                <w:color w:val="auto"/>
                <w:w w:val="99"/>
              </w:rPr>
              <w:t>(713) 381-6500</w:t>
            </w:r>
          </w:p>
        </w:tc>
        <w:tc>
          <w:tcPr>
            <w:tcW w:w="4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20"/>
        </w:trPr>
        <w:tc>
          <w:tcPr>
            <w:tcW w:w="6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20" w:type="dxa"/>
            <w:vAlign w:val="bottom"/>
            <w:gridSpan w:val="3"/>
          </w:tcPr>
          <w:p>
            <w:pPr>
              <w:jc w:val="center"/>
              <w:ind w:left="7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42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445"/>
        </w:trPr>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740" w:type="dxa"/>
            <w:vAlign w:val="bottom"/>
            <w:gridSpan w:val="5"/>
          </w:tcPr>
          <w:p>
            <w:pPr>
              <w:jc w:val="center"/>
              <w:ind w:right="226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Securities Exchange Act of 1934:</w:t>
            </w:r>
          </w:p>
        </w:tc>
      </w:tr>
      <w:tr>
        <w:trPr>
          <w:trHeight w:val="239"/>
        </w:trPr>
        <w:tc>
          <w:tcPr>
            <w:tcW w:w="6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40" w:type="dxa"/>
            <w:vAlign w:val="bottom"/>
            <w:gridSpan w:val="2"/>
          </w:tcPr>
          <w:p>
            <w:pPr>
              <w:jc w:val="center"/>
              <w:ind w:right="1360"/>
              <w:spacing w:after="0"/>
              <w:rPr>
                <w:sz w:val="20"/>
                <w:szCs w:val="20"/>
                <w:color w:val="auto"/>
              </w:rPr>
            </w:pPr>
            <w:r>
              <w:rPr>
                <w:rFonts w:ascii="Times New Roman" w:cs="Times New Roman" w:eastAsia="Times New Roman" w:hAnsi="Times New Roman"/>
                <w:sz w:val="14"/>
                <w:szCs w:val="14"/>
                <w:color w:val="auto"/>
              </w:rPr>
              <w:t>Trading Symbol(s)</w:t>
            </w:r>
          </w:p>
        </w:tc>
        <w:tc>
          <w:tcPr>
            <w:tcW w:w="3120" w:type="dxa"/>
            <w:vAlign w:val="bottom"/>
            <w:gridSpan w:val="2"/>
          </w:tcPr>
          <w:p>
            <w:pPr>
              <w:jc w:val="center"/>
              <w:ind w:left="342"/>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40"/>
        </w:trPr>
        <w:tc>
          <w:tcPr>
            <w:tcW w:w="66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4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EPD</w:t>
            </w: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280"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80" w:hanging="272"/>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9"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138"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81" w:lineRule="exact"/>
        <w:rPr>
          <w:sz w:val="24"/>
          <w:szCs w:val="24"/>
          <w:color w:val="auto"/>
        </w:rPr>
      </w:pPr>
    </w:p>
    <w:p>
      <w:pPr>
        <w:sectPr>
          <w:pgSz w:w="11900" w:h="16838" w:orient="portrait"/>
          <w:cols w:equalWidth="0" w:num="2">
            <w:col w:w="9360" w:space="720"/>
            <w:col w:w="1160"/>
          </w:cols>
          <w:pgMar w:left="320" w:top="1440"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69" w:lineRule="exact"/>
        <w:rPr>
          <w:sz w:val="24"/>
          <w:szCs w:val="24"/>
          <w:color w:val="auto"/>
        </w:rPr>
      </w:pPr>
    </w:p>
    <w:p>
      <w:pPr>
        <w:sectPr>
          <w:pgSz w:w="11900" w:h="16838" w:orient="portrait"/>
          <w:cols w:equalWidth="0" w:num="2">
            <w:col w:w="8760" w:space="720"/>
            <w:col w:w="1760"/>
          </w:cols>
          <w:pgMar w:left="320" w:top="1440"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1440" w:right="339" w:bottom="1440" w:gutter="0" w:footer="0" w:header="0"/>
          <w:type w:val="continuous"/>
        </w:sectPr>
      </w:pPr>
    </w:p>
    <w:p>
      <w:pPr>
        <w:spacing w:after="0" w:line="259"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There were 2,163,518,271 common units of Enterprise Products Partners L.P. outstanding at the close of business on April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183515</wp:posOffset>
            </wp:positionV>
            <wp:extent cx="70808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0885"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208915</wp:posOffset>
            </wp:positionV>
            <wp:extent cx="7080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2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Page No.</w:t>
            </w:r>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tcBorders>
              <w:bottom w:val="single" w:sz="8" w:color="0000FF"/>
            </w:tcBorders>
            <w:gridSpan w:val="1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2040" w:type="dxa"/>
            <w:vAlign w:val="bottom"/>
            <w:gridSpan w:val="2"/>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w:t>
            </w:r>
          </w:p>
        </w:tc>
        <w:tc>
          <w:tcPr>
            <w:tcW w:w="4200" w:type="dxa"/>
            <w:vAlign w:val="bottom"/>
            <w:gridSpan w:val="12"/>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2</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9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Unaudited Condensed Statements of Consolidated Operations</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9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Unaudited Condensed Statements of Consolidated Comprehensive Income</w:t>
            </w: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4</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00" w:type="dxa"/>
            <w:vAlign w:val="bottom"/>
            <w:tcBorders>
              <w:top w:val="single" w:sz="8" w:color="0000FF"/>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Unaudited Condensed Statements of Consolidated Cash Flows</w:t>
            </w:r>
          </w:p>
        </w:tc>
        <w:tc>
          <w:tcPr>
            <w:tcW w:w="860" w:type="dxa"/>
            <w:vAlign w:val="bottom"/>
            <w:tcBorders>
              <w:top w:val="single" w:sz="8" w:color="0000FF"/>
            </w:tcBorders>
            <w:gridSpan w:val="3"/>
          </w:tcPr>
          <w:p>
            <w:pPr>
              <w:spacing w:after="0"/>
              <w:rPr>
                <w:sz w:val="21"/>
                <w:szCs w:val="21"/>
                <w:color w:val="auto"/>
              </w:rPr>
            </w:pPr>
          </w:p>
        </w:tc>
        <w:tc>
          <w:tcPr>
            <w:tcW w:w="2560" w:type="dxa"/>
            <w:vAlign w:val="bottom"/>
            <w:gridSpan w:val="4"/>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14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Unaudited Condensed Statements of Consolidated Equity</w:t>
            </w:r>
          </w:p>
        </w:tc>
        <w:tc>
          <w:tcPr>
            <w:tcW w:w="3780" w:type="dxa"/>
            <w:vAlign w:val="bottom"/>
            <w:gridSpan w:val="10"/>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92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4480" w:type="dxa"/>
            <w:vAlign w:val="bottom"/>
            <w:tcBorders>
              <w:top w:val="single" w:sz="8" w:color="0000FF"/>
            </w:tcBorders>
            <w:gridSpan w:val="29"/>
          </w:tcPr>
          <w:p>
            <w:pPr>
              <w:ind w:left="20"/>
              <w:spacing w:after="0"/>
              <w:rPr>
                <w:sz w:val="20"/>
                <w:szCs w:val="20"/>
                <w:color w:val="auto"/>
              </w:rPr>
            </w:pPr>
            <w:r>
              <w:rPr>
                <w:rFonts w:ascii="Times New Roman" w:cs="Times New Roman" w:eastAsia="Times New Roman" w:hAnsi="Times New Roman"/>
                <w:sz w:val="18"/>
                <w:szCs w:val="18"/>
                <w:color w:val="0000FF"/>
              </w:rPr>
              <w:t>Partnership Organization and Operations</w:t>
            </w:r>
          </w:p>
        </w:tc>
        <w:tc>
          <w:tcPr>
            <w:tcW w:w="3100" w:type="dxa"/>
            <w:vAlign w:val="bottom"/>
            <w:gridSpan w:val="5"/>
          </w:tcPr>
          <w:p>
            <w:pPr>
              <w:spacing w:after="0"/>
              <w:rPr>
                <w:sz w:val="21"/>
                <w:szCs w:val="21"/>
                <w:color w:val="auto"/>
              </w:rPr>
            </w:pPr>
          </w:p>
        </w:tc>
        <w:tc>
          <w:tcPr>
            <w:tcW w:w="15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2.</w:t>
            </w:r>
          </w:p>
        </w:tc>
        <w:tc>
          <w:tcPr>
            <w:tcW w:w="326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320" w:type="dxa"/>
            <w:vAlign w:val="bottom"/>
            <w:gridSpan w:val="14"/>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3.</w:t>
            </w:r>
          </w:p>
        </w:tc>
        <w:tc>
          <w:tcPr>
            <w:tcW w:w="84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Inventories</w:t>
            </w:r>
          </w:p>
        </w:tc>
        <w:tc>
          <w:tcPr>
            <w:tcW w:w="6740" w:type="dxa"/>
            <w:vAlign w:val="bottom"/>
            <w:gridSpan w:val="30"/>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6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224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Property, Plant and Equipment</w:t>
            </w:r>
          </w:p>
        </w:tc>
        <w:tc>
          <w:tcPr>
            <w:tcW w:w="5340" w:type="dxa"/>
            <w:vAlign w:val="bottom"/>
            <w:gridSpan w:val="21"/>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10</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298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Investments in Unconsolidated Affiliates</w:t>
            </w:r>
          </w:p>
        </w:tc>
        <w:tc>
          <w:tcPr>
            <w:tcW w:w="4600" w:type="dxa"/>
            <w:vAlign w:val="bottom"/>
            <w:gridSpan w:val="16"/>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11</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224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5"/>
              </w:rPr>
              <w:t>Intangible Assets and Goodwill</w:t>
            </w:r>
          </w:p>
        </w:tc>
        <w:tc>
          <w:tcPr>
            <w:tcW w:w="740" w:type="dxa"/>
            <w:vAlign w:val="bottom"/>
            <w:gridSpan w:val="5"/>
          </w:tcPr>
          <w:p>
            <w:pPr>
              <w:spacing w:after="0"/>
              <w:rPr>
                <w:sz w:val="21"/>
                <w:szCs w:val="21"/>
                <w:color w:val="auto"/>
              </w:rPr>
            </w:pPr>
          </w:p>
        </w:tc>
        <w:tc>
          <w:tcPr>
            <w:tcW w:w="4600" w:type="dxa"/>
            <w:vAlign w:val="bottom"/>
            <w:gridSpan w:val="16"/>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12</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7.</w:t>
            </w:r>
          </w:p>
        </w:tc>
        <w:tc>
          <w:tcPr>
            <w:tcW w:w="1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w w:val="98"/>
              </w:rPr>
              <w:t>Debt Obligations</w:t>
            </w:r>
          </w:p>
        </w:tc>
        <w:tc>
          <w:tcPr>
            <w:tcW w:w="980" w:type="dxa"/>
            <w:vAlign w:val="bottom"/>
            <w:gridSpan w:val="5"/>
          </w:tcPr>
          <w:p>
            <w:pPr>
              <w:spacing w:after="0"/>
              <w:rPr>
                <w:sz w:val="21"/>
                <w:szCs w:val="21"/>
                <w:color w:val="auto"/>
              </w:rPr>
            </w:pPr>
          </w:p>
        </w:tc>
        <w:tc>
          <w:tcPr>
            <w:tcW w:w="5340" w:type="dxa"/>
            <w:vAlign w:val="bottom"/>
            <w:gridSpan w:val="21"/>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8.</w:t>
            </w:r>
          </w:p>
        </w:tc>
        <w:tc>
          <w:tcPr>
            <w:tcW w:w="758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Capital Accounts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15</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9.</w:t>
            </w:r>
          </w:p>
        </w:tc>
        <w:tc>
          <w:tcPr>
            <w:tcW w:w="126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Revenues</w:t>
            </w:r>
          </w:p>
        </w:tc>
        <w:tc>
          <w:tcPr>
            <w:tcW w:w="6320" w:type="dxa"/>
            <w:vAlign w:val="bottom"/>
            <w:gridSpan w:val="26"/>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18</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10. Business Segments and Related Information</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19</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11. Earnings Per Unit</w:t>
            </w:r>
          </w:p>
        </w:tc>
        <w:tc>
          <w:tcPr>
            <w:tcW w:w="1900" w:type="dxa"/>
            <w:vAlign w:val="bottom"/>
            <w:gridSpan w:val="12"/>
          </w:tcPr>
          <w:p>
            <w:pPr>
              <w:spacing w:after="0"/>
              <w:rPr>
                <w:sz w:val="21"/>
                <w:szCs w:val="21"/>
                <w:color w:val="auto"/>
              </w:rPr>
            </w:pPr>
          </w:p>
        </w:tc>
        <w:tc>
          <w:tcPr>
            <w:tcW w:w="4280" w:type="dxa"/>
            <w:vAlign w:val="bottom"/>
            <w:gridSpan w:val="13"/>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24</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12. Equity-Based Awards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24</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7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13. Hedging Activities and Fair Value Measurements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26</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14. Related Party Transactions</w:t>
            </w:r>
          </w:p>
        </w:tc>
        <w:tc>
          <w:tcPr>
            <w:tcW w:w="3920" w:type="dxa"/>
            <w:vAlign w:val="bottom"/>
            <w:gridSpan w:val="11"/>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32</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15. Income Taxes</w:t>
            </w:r>
          </w:p>
        </w:tc>
        <w:tc>
          <w:tcPr>
            <w:tcW w:w="880" w:type="dxa"/>
            <w:vAlign w:val="bottom"/>
            <w:gridSpan w:val="5"/>
          </w:tcPr>
          <w:p>
            <w:pPr>
              <w:spacing w:after="0"/>
              <w:rPr>
                <w:sz w:val="21"/>
                <w:szCs w:val="21"/>
                <w:color w:val="auto"/>
              </w:rPr>
            </w:pPr>
          </w:p>
        </w:tc>
        <w:tc>
          <w:tcPr>
            <w:tcW w:w="5580" w:type="dxa"/>
            <w:vAlign w:val="bottom"/>
            <w:gridSpan w:val="22"/>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33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16. Commitments and Contingent Liabilities</w:t>
            </w:r>
          </w:p>
        </w:tc>
        <w:tc>
          <w:tcPr>
            <w:tcW w:w="4520" w:type="dxa"/>
            <w:vAlign w:val="bottom"/>
            <w:gridSpan w:val="15"/>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35</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17. Supplemental Cash Flow Information</w:t>
            </w:r>
          </w:p>
        </w:tc>
        <w:tc>
          <w:tcPr>
            <w:tcW w:w="4520" w:type="dxa"/>
            <w:vAlign w:val="bottom"/>
            <w:gridSpan w:val="15"/>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37</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38</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58</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580" w:type="dxa"/>
            <w:vAlign w:val="bottom"/>
            <w:tcBorders>
              <w:left w:val="single" w:sz="8" w:color="0000FF"/>
            </w:tcBorders>
            <w:gridSpan w:val="3"/>
            <w:shd w:val="clear" w:color="auto" w:fill="0000FF"/>
          </w:tcPr>
          <w:p>
            <w:pPr>
              <w:spacing w:after="0" w:line="20" w:lineRule="exact"/>
              <w:rPr>
                <w:sz w:val="1"/>
                <w:szCs w:val="1"/>
                <w:color w:val="auto"/>
              </w:rPr>
            </w:pPr>
          </w:p>
        </w:tc>
        <w:tc>
          <w:tcPr>
            <w:tcW w:w="1560" w:type="dxa"/>
            <w:vAlign w:val="bottom"/>
            <w:gridSpan w:val="11"/>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60</w:t>
            </w:r>
          </w:p>
        </w:tc>
        <w:tc>
          <w:tcPr>
            <w:tcW w:w="460" w:type="dxa"/>
            <w:vAlign w:val="bottom"/>
          </w:tcPr>
          <w:p>
            <w:pPr>
              <w:spacing w:after="0"/>
              <w:rPr>
                <w:sz w:val="21"/>
                <w:szCs w:val="21"/>
                <w:color w:val="auto"/>
              </w:rPr>
            </w:pPr>
          </w:p>
        </w:tc>
      </w:tr>
      <w:tr>
        <w:trPr>
          <w:trHeight w:val="412"/>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gridSpan w:val="19"/>
          </w:tcPr>
          <w:p>
            <w:pPr>
              <w:jc w:val="center"/>
              <w:ind w:right="2200"/>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30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2800" w:type="dxa"/>
            <w:vAlign w:val="bottom"/>
            <w:tcBorders>
              <w:top w:val="single" w:sz="8" w:color="0000FF"/>
            </w:tcBorders>
            <w:gridSpan w:val="16"/>
          </w:tcPr>
          <w:p>
            <w:pPr>
              <w:spacing w:after="0"/>
              <w:rPr>
                <w:sz w:val="21"/>
                <w:szCs w:val="21"/>
                <w:color w:val="auto"/>
              </w:rPr>
            </w:pPr>
          </w:p>
        </w:tc>
        <w:tc>
          <w:tcPr>
            <w:tcW w:w="2200" w:type="dxa"/>
            <w:vAlign w:val="bottom"/>
            <w:gridSpan w:val="3"/>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61</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40" w:type="dxa"/>
            <w:vAlign w:val="bottom"/>
            <w:gridSpan w:val="14"/>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8"/>
              </w:rPr>
              <w:t>Item 1A.</w:t>
            </w:r>
          </w:p>
        </w:tc>
        <w:tc>
          <w:tcPr>
            <w:tcW w:w="460" w:type="dxa"/>
            <w:vAlign w:val="bottom"/>
            <w:gridSpan w:val="2"/>
          </w:tcPr>
          <w:p>
            <w:pPr>
              <w:spacing w:after="0"/>
              <w:rPr>
                <w:sz w:val="21"/>
                <w:szCs w:val="21"/>
                <w:color w:val="auto"/>
              </w:rPr>
            </w:pPr>
          </w:p>
        </w:tc>
        <w:tc>
          <w:tcPr>
            <w:tcW w:w="10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w:t>
            </w:r>
          </w:p>
        </w:tc>
        <w:tc>
          <w:tcPr>
            <w:tcW w:w="7040" w:type="dxa"/>
            <w:vAlign w:val="bottom"/>
            <w:gridSpan w:val="32"/>
          </w:tcPr>
          <w:p>
            <w:pPr>
              <w:spacing w:after="0"/>
              <w:rPr>
                <w:sz w:val="21"/>
                <w:szCs w:val="21"/>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61</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140" w:type="dxa"/>
            <w:vAlign w:val="bottom"/>
            <w:gridSpan w:val="14"/>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460" w:type="dxa"/>
            <w:vAlign w:val="bottom"/>
            <w:gridSpan w:val="2"/>
          </w:tcPr>
          <w:p>
            <w:pPr>
              <w:spacing w:after="0"/>
              <w:rPr>
                <w:sz w:val="21"/>
                <w:szCs w:val="21"/>
                <w:color w:val="auto"/>
              </w:rPr>
            </w:pP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62</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140" w:type="dxa"/>
            <w:vAlign w:val="bottom"/>
            <w:tcBorders>
              <w:left w:val="single" w:sz="8" w:color="0000FF"/>
            </w:tcBorders>
            <w:gridSpan w:val="14"/>
            <w:shd w:val="clear" w:color="auto" w:fill="0000FF"/>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Defaults Upon Senior Securities.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5580" w:type="dxa"/>
            <w:vAlign w:val="bottom"/>
            <w:gridSpan w:val="22"/>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180" w:type="dxa"/>
            <w:vAlign w:val="bottom"/>
            <w:gridSpan w:val="25"/>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800" w:type="dxa"/>
            <w:vAlign w:val="bottom"/>
            <w:gridSpan w:val="5"/>
            <w:shd w:val="clear" w:color="auto" w:fill="0000FF"/>
          </w:tcPr>
          <w:p>
            <w:pPr>
              <w:spacing w:after="0" w:line="20" w:lineRule="exact"/>
              <w:rPr>
                <w:sz w:val="1"/>
                <w:szCs w:val="1"/>
                <w:color w:val="auto"/>
              </w:rPr>
            </w:pPr>
          </w:p>
        </w:tc>
        <w:tc>
          <w:tcPr>
            <w:tcW w:w="6580" w:type="dxa"/>
            <w:vAlign w:val="bottom"/>
            <w:gridSpan w:val="28"/>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806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63</w:t>
            </w:r>
          </w:p>
        </w:tc>
        <w:tc>
          <w:tcPr>
            <w:tcW w:w="46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0000FF"/>
                <w:w w:val="99"/>
              </w:rPr>
              <w:t>70</w:t>
            </w:r>
          </w:p>
        </w:tc>
        <w:tc>
          <w:tcPr>
            <w:tcW w:w="460" w:type="dxa"/>
            <w:vAlign w:val="bottom"/>
          </w:tcPr>
          <w:p>
            <w:pPr>
              <w:spacing w:after="0"/>
              <w:rPr>
                <w:sz w:val="24"/>
                <w:szCs w:val="24"/>
                <w:color w:val="auto"/>
              </w:rPr>
            </w:pPr>
          </w:p>
        </w:tc>
      </w:tr>
      <w:tr>
        <w:trPr>
          <w:trHeight w:val="736"/>
        </w:trPr>
        <w:tc>
          <w:tcPr>
            <w:tcW w:w="2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gridSpan w:val="25"/>
          </w:tcPr>
          <w:p>
            <w:pPr>
              <w:jc w:val="center"/>
              <w:ind w:left="3770"/>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331"/>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6"/>
                <w:szCs w:val="16"/>
                <w:color w:val="auto"/>
              </w:rPr>
            </w:pPr>
          </w:p>
        </w:tc>
        <w:tc>
          <w:tcPr>
            <w:tcW w:w="13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39"/>
        </w:trPr>
        <w:tc>
          <w:tcPr>
            <w:tcW w:w="8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8200" w:type="dxa"/>
            <w:vAlign w:val="bottom"/>
          </w:tcPr>
          <w:p>
            <w:pPr>
              <w:ind w:left="38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3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r>
      <w:tr>
        <w:trPr>
          <w:trHeight w:val="253"/>
        </w:trPr>
        <w:tc>
          <w:tcPr>
            <w:tcW w:w="8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 – trade, net of allowance for credit losses of $35 at March 31, 2026 and December 31, 2025</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6,494</w:t>
            </w:r>
          </w:p>
        </w:tc>
      </w:tr>
      <w:tr>
        <w:trPr>
          <w:trHeight w:val="23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3"/>
        </w:trPr>
        <w:tc>
          <w:tcPr>
            <w:tcW w:w="82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 (see Note 3)</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w:t>
            </w:r>
          </w:p>
        </w:tc>
      </w:tr>
      <w:tr>
        <w:trPr>
          <w:trHeight w:val="233"/>
        </w:trPr>
        <w:tc>
          <w:tcPr>
            <w:tcW w:w="82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Derivative assets (see Note 13)</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70"/>
        </w:trPr>
        <w:tc>
          <w:tcPr>
            <w:tcW w:w="82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and 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23"/>
        </w:trPr>
        <w:tc>
          <w:tcPr>
            <w:tcW w:w="8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13,360</w:t>
            </w:r>
          </w:p>
        </w:tc>
      </w:tr>
      <w:tr>
        <w:trPr>
          <w:trHeight w:val="2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Property, plant and equipment, net </w:t>
            </w:r>
            <w:r>
              <w:rPr>
                <w:rFonts w:ascii="Times New Roman" w:cs="Times New Roman" w:eastAsia="Times New Roman" w:hAnsi="Times New Roman"/>
                <w:sz w:val="16"/>
                <w:szCs w:val="16"/>
                <w:color w:val="auto"/>
              </w:rPr>
              <w:t>(see Note 4)</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51,359</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Investments in unconsolidated affiliates </w:t>
            </w:r>
            <w:r>
              <w:rPr>
                <w:rFonts w:ascii="Times New Roman" w:cs="Times New Roman" w:eastAsia="Times New Roman" w:hAnsi="Times New Roman"/>
                <w:sz w:val="16"/>
                <w:szCs w:val="16"/>
                <w:color w:val="auto"/>
              </w:rPr>
              <w:t>(see Note 5)</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r>
      <w:tr>
        <w:trPr>
          <w:trHeight w:val="2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Intangible assets, net </w:t>
            </w:r>
            <w:r>
              <w:rPr>
                <w:rFonts w:ascii="Times New Roman" w:cs="Times New Roman" w:eastAsia="Times New Roman" w:hAnsi="Times New Roman"/>
                <w:sz w:val="16"/>
                <w:szCs w:val="16"/>
                <w:color w:val="auto"/>
              </w:rPr>
              <w:t>(see Note 6)</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Goodwill </w:t>
            </w:r>
            <w:r>
              <w:rPr>
                <w:rFonts w:ascii="Times New Roman" w:cs="Times New Roman" w:eastAsia="Times New Roman" w:hAnsi="Times New Roman"/>
                <w:sz w:val="16"/>
                <w:szCs w:val="16"/>
                <w:color w:val="auto"/>
              </w:rPr>
              <w:t>(see Note 6)</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5,712</w:t>
            </w:r>
          </w:p>
        </w:tc>
      </w:tr>
      <w:tr>
        <w:trPr>
          <w:trHeight w:val="27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1,127</w:t>
            </w:r>
          </w:p>
        </w:tc>
      </w:tr>
      <w:tr>
        <w:trPr>
          <w:trHeight w:val="227"/>
        </w:trPr>
        <w:tc>
          <w:tcPr>
            <w:tcW w:w="8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80,559</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77,902</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9"/>
        </w:trPr>
        <w:tc>
          <w:tcPr>
            <w:tcW w:w="8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93"/>
        </w:trPr>
        <w:tc>
          <w:tcPr>
            <w:tcW w:w="8200" w:type="dxa"/>
            <w:vAlign w:val="bottom"/>
          </w:tcPr>
          <w:p>
            <w:pPr>
              <w:ind w:left="318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
        </w:trPr>
        <w:tc>
          <w:tcPr>
            <w:tcW w:w="8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4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maturities of debt (see Note 7)</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r>
      <w:tr>
        <w:trPr>
          <w:trHeight w:val="25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 – trade</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w:t>
            </w:r>
          </w:p>
        </w:tc>
      </w:tr>
      <w:tr>
        <w:trPr>
          <w:trHeight w:val="23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r>
      <w:tr>
        <w:trPr>
          <w:trHeight w:val="25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product payables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8,183</w:t>
            </w:r>
          </w:p>
        </w:tc>
      </w:tr>
      <w:tr>
        <w:trPr>
          <w:trHeight w:val="233"/>
        </w:trPr>
        <w:tc>
          <w:tcPr>
            <w:tcW w:w="82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interest</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r>
      <w:tr>
        <w:trPr>
          <w:trHeight w:val="253"/>
        </w:trPr>
        <w:tc>
          <w:tcPr>
            <w:tcW w:w="8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Derivative liabilities (see Note 13)</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50"/>
        </w:trPr>
        <w:tc>
          <w:tcPr>
            <w:tcW w:w="82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r>
      <w:tr>
        <w:trPr>
          <w:trHeight w:val="243"/>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12,832</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Long-term debt </w:t>
            </w:r>
            <w:r>
              <w:rPr>
                <w:rFonts w:ascii="Times New Roman" w:cs="Times New Roman" w:eastAsia="Times New Roman" w:hAnsi="Times New Roman"/>
                <w:sz w:val="16"/>
                <w:szCs w:val="16"/>
                <w:color w:val="auto"/>
              </w:rPr>
              <w:t>(see Note 7)</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31,202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32,770</w:t>
            </w:r>
          </w:p>
        </w:tc>
      </w:tr>
      <w:tr>
        <w:trPr>
          <w:trHeight w:val="2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Deferred tax liabilities </w:t>
            </w:r>
            <w:r>
              <w:rPr>
                <w:rFonts w:ascii="Times New Roman" w:cs="Times New Roman" w:eastAsia="Times New Roman" w:hAnsi="Times New Roman"/>
                <w:sz w:val="16"/>
                <w:szCs w:val="16"/>
                <w:color w:val="auto"/>
              </w:rPr>
              <w:t>(see Note 15</w:t>
            </w:r>
            <w:r>
              <w:rPr>
                <w:rFonts w:ascii="Times New Roman" w:cs="Times New Roman" w:eastAsia="Times New Roman" w:hAnsi="Times New Roman"/>
                <w:sz w:val="16"/>
                <w:szCs w:val="16"/>
                <w:b w:val="1"/>
                <w:bCs w:val="1"/>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long-term liabilities</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r>
      <w:tr>
        <w:trPr>
          <w:trHeight w:val="25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Commitments and contingent liabilities </w:t>
            </w:r>
            <w:r>
              <w:rPr>
                <w:rFonts w:ascii="Times New Roman" w:cs="Times New Roman" w:eastAsia="Times New Roman" w:hAnsi="Times New Roman"/>
                <w:sz w:val="16"/>
                <w:szCs w:val="16"/>
                <w:color w:val="auto"/>
              </w:rPr>
              <w:t>(see Note 16)</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Redeemable preferred limited partner interests: </w:t>
            </w:r>
            <w:r>
              <w:rPr>
                <w:rFonts w:ascii="Times New Roman" w:cs="Times New Roman" w:eastAsia="Times New Roman" w:hAnsi="Times New Roman"/>
                <w:sz w:val="16"/>
                <w:szCs w:val="16"/>
                <w:color w:val="auto"/>
              </w:rPr>
              <w:t>(see Note 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2"/>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Series A cumulative convertible preferred units (“preferred units”) (45,412 units outstanding at March 31, 2026 and</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December 31, 2025)</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3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(see Note 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3"/>
        </w:trPr>
        <w:tc>
          <w:tcPr>
            <w:tcW w:w="8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Partners’ equity: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02"/>
        </w:trPr>
        <w:tc>
          <w:tcPr>
            <w:tcW w:w="8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limited partner interests (2,163,518,271 units issued and outstanding at March 31, 2026, 2,161,760,683 units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4"/>
        </w:trPr>
        <w:tc>
          <w:tcPr>
            <w:tcW w:w="820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issued and outstanding at December 31, 2025)</w:t>
            </w: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30,700</w:t>
            </w:r>
          </w:p>
        </w:tc>
      </w:tr>
      <w:tr>
        <w:trPr>
          <w:trHeight w:val="253"/>
        </w:trPr>
        <w:tc>
          <w:tcPr>
            <w:tcW w:w="8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Treasury units, at cost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(1,297)</w:t>
            </w:r>
          </w:p>
        </w:tc>
      </w:tr>
      <w:tr>
        <w:trPr>
          <w:trHeight w:val="250"/>
        </w:trPr>
        <w:tc>
          <w:tcPr>
            <w:tcW w:w="8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243"/>
        </w:trPr>
        <w:tc>
          <w:tcPr>
            <w:tcW w:w="8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partners’ equity</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29,739</w:t>
            </w:r>
          </w:p>
        </w:tc>
      </w:tr>
      <w:tr>
        <w:trPr>
          <w:trHeight w:val="256"/>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r>
      <w:tr>
        <w:trPr>
          <w:trHeight w:val="244"/>
        </w:trPr>
        <w:tc>
          <w:tcPr>
            <w:tcW w:w="82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30,347</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30,570</w:t>
            </w:r>
          </w:p>
        </w:tc>
      </w:tr>
      <w:tr>
        <w:trPr>
          <w:trHeight w:val="243"/>
        </w:trPr>
        <w:tc>
          <w:tcPr>
            <w:tcW w:w="8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liabilities, preferred units, and equity</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80,559</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77,902</w:t>
            </w:r>
          </w:p>
        </w:tc>
      </w:tr>
      <w:tr>
        <w:trPr>
          <w:trHeight w:val="21"/>
        </w:trPr>
        <w:tc>
          <w:tcPr>
            <w:tcW w:w="8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121" w:right="33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808"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840" w:right="1840"/>
        <w:spacing w:after="0" w:line="268" w:lineRule="auto"/>
        <w:rPr>
          <w:sz w:val="20"/>
          <w:szCs w:val="20"/>
          <w:color w:val="auto"/>
        </w:rPr>
      </w:pPr>
      <w:r>
        <w:rPr>
          <w:rFonts w:ascii="Times New Roman" w:cs="Times New Roman" w:eastAsia="Times New Roman" w:hAnsi="Times New Roman"/>
          <w:sz w:val="18"/>
          <w:szCs w:val="18"/>
          <w:b w:val="1"/>
          <w:bCs w:val="1"/>
          <w:color w:val="auto"/>
        </w:rPr>
        <w:t>ENTERPRISE PRODUCTS PARTNERS L.P. UNAUDITED CONDENSED STATEMENTS OF CONSOLIDATED OPERATIONS (Dollars in millions, except per unit amounts)</w:t>
      </w:r>
    </w:p>
    <w:p>
      <w:pPr>
        <w:spacing w:after="0" w:line="231"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26035</wp:posOffset>
            </wp:positionV>
            <wp:extent cx="179133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0" w:lineRule="exact"/>
        <w:rPr>
          <w:sz w:val="20"/>
          <w:szCs w:val="20"/>
          <w:color w:val="auto"/>
        </w:rPr>
      </w:pPr>
    </w:p>
    <w:p>
      <w:pPr>
        <w:jc w:val="both"/>
        <w:ind w:left="8940"/>
        <w:spacing w:after="0"/>
        <w:tabs>
          <w:tab w:leader="none" w:pos="10380" w:val="left"/>
        </w:tabs>
        <w:rPr>
          <w:sz w:val="20"/>
          <w:szCs w:val="20"/>
          <w:color w:val="auto"/>
        </w:rPr>
      </w:pPr>
      <w:r>
        <w:rPr>
          <w:rFonts w:ascii="Times New Roman" w:cs="Times New Roman" w:eastAsia="Times New Roman" w:hAnsi="Times New Roman"/>
          <w:sz w:val="16"/>
          <w:szCs w:val="16"/>
          <w:b w:val="1"/>
          <w:bCs w:val="1"/>
          <w:color w:val="auto"/>
        </w:rPr>
        <w:t>2026</w:t>
      </w:r>
      <w:r>
        <w:rPr>
          <w:sz w:val="20"/>
          <w:szCs w:val="20"/>
          <w:color w:val="auto"/>
        </w:rPr>
        <w:tab/>
      </w:r>
      <w:r>
        <w:rPr>
          <w:rFonts w:ascii="Times New Roman" w:cs="Times New Roman" w:eastAsia="Times New Roman" w:hAnsi="Times New Roman"/>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30480</wp:posOffset>
            </wp:positionV>
            <wp:extent cx="17913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997" w:gutter="0" w:footer="0" w:header="0"/>
        </w:sectPr>
      </w:pP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Third parties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Related parties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revenues (see Note 9)</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p>
      <w:pPr>
        <w:spacing w:after="0" w:line="61" w:lineRule="exact"/>
        <w:rPr>
          <w:sz w:val="20"/>
          <w:szCs w:val="20"/>
          <w:color w:val="auto"/>
        </w:rPr>
      </w:pPr>
    </w:p>
    <w:p>
      <w:pPr>
        <w:jc w:val="center"/>
        <w:ind w:right="5500"/>
        <w:spacing w:after="0"/>
        <w:rPr>
          <w:sz w:val="20"/>
          <w:szCs w:val="20"/>
          <w:color w:val="auto"/>
        </w:rPr>
      </w:pPr>
      <w:r>
        <w:rPr>
          <w:rFonts w:ascii="Times New Roman" w:cs="Times New Roman" w:eastAsia="Times New Roman" w:hAnsi="Times New Roman"/>
          <w:sz w:val="16"/>
          <w:szCs w:val="16"/>
          <w:color w:val="auto"/>
        </w:rPr>
        <w:t>Operating costs and expenses: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Third party and other costs</w:t>
      </w:r>
    </w:p>
    <w:p>
      <w:pPr>
        <w:spacing w:after="0" w:line="7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Related parties</w:t>
      </w:r>
    </w:p>
    <w:p>
      <w:pPr>
        <w:spacing w:after="0" w:line="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Total operating costs and expenses</w:t>
      </w:r>
    </w:p>
    <w:p>
      <w:pPr>
        <w:spacing w:after="0" w:line="5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General and administrative costs: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Third party and other costs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tabs>
          <w:tab w:leader="none" w:pos="800" w:val="left"/>
          <w:tab w:leader="none" w:pos="1440" w:val="left"/>
          <w:tab w:leader="none" w:pos="226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14,370</w:t>
        <w:tab/>
        <w:t>$</w:t>
      </w:r>
      <w:r>
        <w:rPr>
          <w:sz w:val="20"/>
          <w:szCs w:val="20"/>
          <w:color w:val="auto"/>
        </w:rPr>
        <w:tab/>
      </w:r>
      <w:r>
        <w:rPr>
          <w:rFonts w:ascii="Times New Roman" w:cs="Times New Roman" w:eastAsia="Times New Roman" w:hAnsi="Times New Roman"/>
          <w:sz w:val="16"/>
          <w:szCs w:val="16"/>
          <w:color w:val="auto"/>
        </w:rPr>
        <w:t>15,404</w:t>
      </w:r>
    </w:p>
    <w:p>
      <w:pPr>
        <w:spacing w:after="0" w:line="59" w:lineRule="exact"/>
        <w:rPr>
          <w:sz w:val="20"/>
          <w:szCs w:val="20"/>
          <w:color w:val="auto"/>
        </w:rPr>
      </w:pPr>
    </w:p>
    <w:p>
      <w:pPr>
        <w:jc w:val="both"/>
        <w:ind w:left="1120"/>
        <w:spacing w:after="0"/>
        <w:tabs>
          <w:tab w:leader="none" w:pos="256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29210</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6" w:lineRule="exact"/>
        <w:rPr>
          <w:sz w:val="20"/>
          <w:szCs w:val="20"/>
          <w:color w:val="auto"/>
        </w:rPr>
      </w:pPr>
    </w:p>
    <w:p>
      <w:pPr>
        <w:jc w:val="both"/>
        <w:ind w:left="820"/>
        <w:spacing w:after="0"/>
        <w:tabs>
          <w:tab w:leader="none" w:pos="2260" w:val="left"/>
        </w:tabs>
        <w:rPr>
          <w:sz w:val="20"/>
          <w:szCs w:val="20"/>
          <w:color w:val="auto"/>
        </w:rPr>
      </w:pPr>
      <w:r>
        <w:rPr>
          <w:rFonts w:ascii="Times New Roman" w:cs="Times New Roman" w:eastAsia="Times New Roman" w:hAnsi="Times New Roman"/>
          <w:sz w:val="16"/>
          <w:szCs w:val="16"/>
          <w:color w:val="auto"/>
        </w:rPr>
        <w:t>14,386</w:t>
      </w:r>
      <w:r>
        <w:rPr>
          <w:sz w:val="20"/>
          <w:szCs w:val="20"/>
          <w:color w:val="auto"/>
        </w:rPr>
        <w:tab/>
      </w:r>
      <w:r>
        <w:rPr>
          <w:rFonts w:ascii="Times New Roman" w:cs="Times New Roman" w:eastAsia="Times New Roman" w:hAnsi="Times New Roman"/>
          <w:sz w:val="16"/>
          <w:szCs w:val="16"/>
          <w:color w:val="auto"/>
        </w:rPr>
        <w:t>15,417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191770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820"/>
        <w:spacing w:after="0"/>
        <w:tabs>
          <w:tab w:leader="none" w:pos="2260" w:val="left"/>
        </w:tabs>
        <w:rPr>
          <w:sz w:val="20"/>
          <w:szCs w:val="20"/>
          <w:color w:val="auto"/>
        </w:rPr>
      </w:pPr>
      <w:r>
        <w:rPr>
          <w:rFonts w:ascii="Times New Roman" w:cs="Times New Roman" w:eastAsia="Times New Roman" w:hAnsi="Times New Roman"/>
          <w:sz w:val="16"/>
          <w:szCs w:val="16"/>
          <w:color w:val="auto"/>
        </w:rPr>
        <w:t>12,075</w:t>
      </w:r>
      <w:r>
        <w:rPr>
          <w:sz w:val="20"/>
          <w:szCs w:val="20"/>
          <w:color w:val="auto"/>
        </w:rPr>
        <w:tab/>
      </w:r>
      <w:r>
        <w:rPr>
          <w:rFonts w:ascii="Times New Roman" w:cs="Times New Roman" w:eastAsia="Times New Roman" w:hAnsi="Times New Roman"/>
          <w:sz w:val="16"/>
          <w:szCs w:val="16"/>
          <w:color w:val="auto"/>
        </w:rPr>
        <w:t>13,298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29210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9" w:lineRule="exact"/>
        <w:rPr>
          <w:sz w:val="20"/>
          <w:szCs w:val="20"/>
          <w:color w:val="auto"/>
        </w:rPr>
      </w:pPr>
    </w:p>
    <w:p>
      <w:pPr>
        <w:ind w:left="2480" w:hanging="1449"/>
        <w:spacing w:after="0"/>
        <w:tabs>
          <w:tab w:leader="none" w:pos="248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392</w:t>
      </w:r>
    </w:p>
    <w:p>
      <w:pPr>
        <w:spacing w:after="0" w:line="86" w:lineRule="exact"/>
        <w:rPr>
          <w:rFonts w:ascii="Times New Roman" w:cs="Times New Roman" w:eastAsia="Times New Roman" w:hAnsi="Times New Roman"/>
          <w:sz w:val="16"/>
          <w:szCs w:val="16"/>
          <w:color w:val="auto"/>
        </w:rPr>
      </w:pPr>
    </w:p>
    <w:p>
      <w:pPr>
        <w:ind w:left="8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12,50313,690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-5353685</wp:posOffset>
            </wp:positionH>
            <wp:positionV relativeFrom="paragraph">
              <wp:posOffset>29210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6" w:lineRule="exact"/>
        <w:rPr>
          <w:sz w:val="20"/>
          <w:szCs w:val="20"/>
          <w:color w:val="auto"/>
        </w:rPr>
      </w:pPr>
    </w:p>
    <w:p>
      <w:pPr>
        <w:jc w:val="both"/>
        <w:ind w:left="1120"/>
        <w:spacing w:after="0"/>
        <w:tabs>
          <w:tab w:leader="none" w:pos="2560" w:val="left"/>
        </w:tabs>
        <w:rPr>
          <w:sz w:val="20"/>
          <w:szCs w:val="20"/>
          <w:color w:val="auto"/>
        </w:rPr>
      </w:pPr>
      <w:r>
        <w:rPr>
          <w:rFonts w:ascii="Times New Roman" w:cs="Times New Roman" w:eastAsia="Times New Roman" w:hAnsi="Times New Roman"/>
          <w:sz w:val="16"/>
          <w:szCs w:val="16"/>
          <w:color w:val="auto"/>
        </w:rPr>
        <w:t>29</w:t>
      </w:r>
      <w:r>
        <w:rPr>
          <w:sz w:val="20"/>
          <w:szCs w:val="20"/>
          <w:color w:val="auto"/>
        </w:rPr>
        <w:tab/>
      </w:r>
      <w:r>
        <w:rPr>
          <w:rFonts w:ascii="Times New Roman" w:cs="Times New Roman" w:eastAsia="Times New Roman" w:hAnsi="Times New Roman"/>
          <w:sz w:val="16"/>
          <w:szCs w:val="16"/>
          <w:color w:val="auto"/>
        </w:rPr>
        <w:t>27</w:t>
      </w:r>
    </w:p>
    <w:p>
      <w:pPr>
        <w:spacing w:after="0" w:line="46" w:lineRule="exact"/>
        <w:rPr>
          <w:sz w:val="20"/>
          <w:szCs w:val="20"/>
          <w:color w:val="auto"/>
        </w:rPr>
      </w:pPr>
    </w:p>
    <w:p>
      <w:pPr>
        <w:sectPr>
          <w:pgSz w:w="11900" w:h="16838" w:orient="portrait"/>
          <w:cols w:equalWidth="0" w:num="2">
            <w:col w:w="7720" w:space="720"/>
            <w:col w:w="2800"/>
          </w:cols>
          <w:pgMar w:left="320" w:top="122" w:right="339" w:bottom="997"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parties</w:t>
            </w: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50"/>
        </w:trPr>
        <w:tc>
          <w:tcPr>
            <w:tcW w:w="8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general and administrative costs</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5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costs and expenses (see Note 10)</w:t>
            </w: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r>
      <w:tr>
        <w:trPr>
          <w:trHeight w:val="25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Equity in income of unconsolidated affiliates</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6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210"/>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r>
      <w:tr>
        <w:trPr>
          <w:trHeight w:val="233"/>
        </w:trPr>
        <w:tc>
          <w:tcPr>
            <w:tcW w:w="8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60"/>
        </w:trPr>
        <w:tc>
          <w:tcPr>
            <w:tcW w:w="8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0"/>
        </w:trPr>
        <w:tc>
          <w:tcPr>
            <w:tcW w:w="8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expense, net</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24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r>
      <w:tr>
        <w:trPr>
          <w:trHeight w:val="25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 (see Note 15)</w:t>
            </w: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3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6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preferred units</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common unitholders</w:t>
            </w: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8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3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Earnings per unit: </w:t>
            </w:r>
            <w:r>
              <w:rPr>
                <w:rFonts w:ascii="Times New Roman" w:cs="Times New Roman" w:eastAsia="Times New Roman" w:hAnsi="Times New Roman"/>
                <w:sz w:val="16"/>
                <w:szCs w:val="16"/>
                <w:color w:val="auto"/>
              </w:rPr>
              <w:t>(see Note 11)</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8"/>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 and diluted earnings per common unit</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0.64</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122" w:right="339" w:bottom="99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99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CONSOLIDATED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6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5"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26035</wp:posOffset>
            </wp:positionV>
            <wp:extent cx="17913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4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3"/>
        </w:trPr>
        <w:tc>
          <w:tcPr>
            <w:tcW w:w="8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4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3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flow hedges: (see Note 13)</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3"/>
        </w:trPr>
        <w:tc>
          <w:tcPr>
            <w:tcW w:w="84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Commodity hedging derivative instruments: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3"/>
        </w:trPr>
        <w:tc>
          <w:tcPr>
            <w:tcW w:w="8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Reclassification of losses (gains) to net income</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53"/>
        </w:trPr>
        <w:tc>
          <w:tcPr>
            <w:tcW w:w="8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rate hedging derivative instruments:</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33"/>
        </w:trPr>
        <w:tc>
          <w:tcPr>
            <w:tcW w:w="84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fair value of cash flow hedges</w:t>
            </w:r>
          </w:p>
        </w:tc>
        <w:tc>
          <w:tcPr>
            <w:tcW w:w="88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6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Reclassification of gains to net income</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0"/>
        </w:trPr>
        <w:tc>
          <w:tcPr>
            <w:tcW w:w="84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cash flow hedges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60"/>
        </w:trPr>
        <w:tc>
          <w:tcPr>
            <w:tcW w:w="84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3"/>
        </w:trPr>
        <w:tc>
          <w:tcPr>
            <w:tcW w:w="84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w:t>
            </w:r>
          </w:p>
        </w:tc>
      </w:tr>
      <w:tr>
        <w:trPr>
          <w:trHeight w:val="253"/>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0"/>
        </w:trPr>
        <w:tc>
          <w:tcPr>
            <w:tcW w:w="8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preferred units</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68"/>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common unitholders</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122" w:right="33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051"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ENTERPRISE PRODUCTS PARTNERS L.P. UNAUDITED CONDENSED STATEMENTS OF CONSOLIDATED CASH FLOWS (Dollars in millions)</w:t>
      </w:r>
    </w:p>
    <w:p>
      <w:pPr>
        <w:spacing w:after="0" w:line="200" w:lineRule="exact"/>
        <w:rPr>
          <w:sz w:val="20"/>
          <w:szCs w:val="20"/>
          <w:color w:val="auto"/>
        </w:rPr>
      </w:pPr>
    </w:p>
    <w:p>
      <w:pPr>
        <w:spacing w:after="0" w:line="24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26035</wp:posOffset>
            </wp:positionV>
            <wp:extent cx="19456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Reconciliation of net income to net cash flow provided by operating activities:</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accretion</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major maintenance costs for reaction-based plants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amortization expense</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assets other than goodwill</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Equity in income of unconsolidated affiliates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earnings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losses (gains) attributable to asset sales and related matters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market value of derivative instruments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5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Non-cash expense related to long-term operating leases (see Note 16)</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33"/>
        </w:trPr>
        <w:tc>
          <w:tcPr>
            <w:tcW w:w="81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effect of changes in operating accounts (see Note 17)</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6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activities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flow provided by operating activities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received from unconsolidated affiliates attributable to the return of capital</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asset sales and other matters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6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0"/>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Net cash flow used in investing activities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under debt agreements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19,103</w:t>
            </w: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debt</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(22,974)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(19,423)</w:t>
            </w: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distributions paid to common unitholders (see Note 8)</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w:t>
            </w: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payments made in connection with distribution equivalent rights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distributions paid to noncontrolling interests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33"/>
        </w:trPr>
        <w:tc>
          <w:tcPr>
            <w:tcW w:w="8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contributions from noncontrolling interests</w:t>
            </w:r>
          </w:p>
        </w:tc>
        <w:tc>
          <w:tcPr>
            <w:tcW w:w="9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5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of common units under 2019 Buyback Program</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50"/>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60"/>
        </w:trPr>
        <w:tc>
          <w:tcPr>
            <w:tcW w:w="8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flow used in financing activities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 including restricted cash</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6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at beginning of period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including restricted cash, at end of period</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r>
      <w:tr>
        <w:trPr>
          <w:trHeight w:val="20"/>
        </w:trPr>
        <w:tc>
          <w:tcPr>
            <w:tcW w:w="8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340" w:right="2580"/>
        <w:spacing w:after="0" w:line="278" w:lineRule="auto"/>
        <w:rPr>
          <w:sz w:val="20"/>
          <w:szCs w:val="20"/>
          <w:color w:val="auto"/>
        </w:rPr>
      </w:pPr>
      <w:r>
        <w:rPr>
          <w:rFonts w:ascii="Times New Roman" w:cs="Times New Roman" w:eastAsia="Times New Roman" w:hAnsi="Times New Roman"/>
          <w:sz w:val="18"/>
          <w:szCs w:val="18"/>
          <w:b w:val="1"/>
          <w:bCs w:val="1"/>
          <w:color w:val="auto"/>
        </w:rPr>
        <w:t>ENTERPRISE PRODUCTS PARTNERS L.P. UNAUDITED CONDENSED STATEMENTS OF CONSOLIDATED EQUITY (Dollars in millions)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 in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4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30,570</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made in connection with distribution equivalent rights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and cancellation of common units under 2019 Buyback Program</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30,838</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30,347</w:t>
            </w: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Partners’ Equity</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40" w:type="dxa"/>
            <w:vAlign w:val="bottom"/>
          </w:tcPr>
          <w:p>
            <w:pPr>
              <w:spacing w:after="0"/>
              <w:rPr>
                <w:sz w:val="15"/>
                <w:szCs w:val="15"/>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 in</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6"/>
                <w:szCs w:val="16"/>
                <w:color w:val="auto"/>
              </w:rPr>
            </w:pP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4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29,589</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common unitholders</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payments made in connection with distribution equivalent rights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distributions paid to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contributions from noncontrolling interests</w:t>
            </w:r>
          </w:p>
        </w:tc>
        <w:tc>
          <w:tcPr>
            <w:tcW w:w="18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and cancellation of common units under 2019 Buyback Program</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3"/>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Amortization of fair value of equity-based awards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7"/>
        </w:trPr>
        <w:tc>
          <w:tcPr>
            <w:tcW w:w="4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Cash flow hedges</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6"/>
        </w:trPr>
        <w:tc>
          <w:tcPr>
            <w:tcW w:w="4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30"/>
        </w:trPr>
        <w:tc>
          <w:tcPr>
            <w:tcW w:w="4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29,927</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29,775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 For information regarding Unit History,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Accumulated Other Comprehensive Income (Loss), see Note 8.</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REFERENCES USED IN THESE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these Notes to Unaudited Condensed Consolidated Financial Statements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32.5% of the Partnership’s common units outstanding at March 31, 2026.</w:t>
      </w:r>
    </w:p>
    <w:p>
      <w:pPr>
        <w:spacing w:after="0" w:line="205"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8"/>
          <w:szCs w:val="18"/>
          <w:i w:val="1"/>
          <w:iCs w:val="1"/>
          <w:color w:val="auto"/>
        </w:rPr>
        <w:t>With the exception of per unit amounts, or as noted within the context of each disclosure, the dollar amounts presented in the tabular data within these disclosures are stated in millions of dollars.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Partnership Organization and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United States (“U.S.”), Canada and the Gulf of Mexico with domestic consumers and international markets. Our midstream energy operations include:</w:t>
      </w:r>
    </w:p>
    <w:p>
      <w:pPr>
        <w:spacing w:after="0" w:line="176" w:lineRule="exact"/>
        <w:rPr>
          <w:sz w:val="20"/>
          <w:szCs w:val="20"/>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gathering, treating, processing, transportation and storage;</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gathering, transportation, storage, and marine terminals;</w:t>
      </w:r>
    </w:p>
    <w:p>
      <w:pPr>
        <w:spacing w:after="0" w:line="225"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6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 See Note 14 for information regarding related party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results of operations for the three months ended March 31, 2026 are not necessarily indicative of results expected for the full year of 2026. In our opinion, the accompanying Unaudited Condensed Consolidated Financial Statements include all adjustments consisting of normal recurring accruals necessary for fair presentation. Although we believe the disclosures in these financial statements are adequate and make the information presented not misleading, certain information and footnote disclosures normally included in annual financial statements prepared in accordance with U.S. generally accepted accounting principles (“GAAP”) have been condensed or omitted pursuant to the rules and regulations of the U.S. Securities and Exchange Commission (“SEC”).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and Notes thereto should be read in conjunction with the Audited Consolidated Financial Statements and Notes thereto included in our annual report on Form 10-K for the year ended December 31, 2025 (the “2025 Form 10-K”) filed with the SEC on February 27,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those matters described in this footnote, there have been no updates to our significant accounting policies since those reported under Note 2 of the 2025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Unaudited Condensed Consolidated Balance Sheets that sum to the total of the amounts shown in the Unaudited Condensed Statements of Consolidated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0"/>
        </w:trPr>
        <w:tc>
          <w:tcPr>
            <w:tcW w:w="8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30"/>
        </w:trPr>
        <w:tc>
          <w:tcPr>
            <w:tcW w:w="8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9"/>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Unaudited Condensed Statements of Consolidated Cash Flows</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cash primarily represents amounts held in segregated bank accounts by our clearing brokers as margin in support of our commodity derivative instruments portfolio and related physical purchases and sales of natural gas, NGLs, crude oil, petrochemicals, refined products and power. Additional cash may be restricted to maintain our commodity derivative instruments portfolio as prices fluctuate or margin requirements change. See Note 13 for information regarding our derivative instruments and hedging activities.</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inventory amounts by product type were as follows at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NGLs</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Petrochemicals and refined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Crude oil</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26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7"/>
        </w:trPr>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193"/>
        </w:trPr>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w:t>
            </w:r>
          </w:p>
        </w:tc>
      </w:tr>
      <w:tr>
        <w:trPr>
          <w:trHeight w:val="230"/>
        </w:trPr>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r>
      <w:tr>
        <w:trPr>
          <w:trHeight w:val="230"/>
        </w:trPr>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29"/>
        </w:trPr>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44"/>
        </w:trPr>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3"/>
        </w:trPr>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3,884</w:t>
            </w:r>
          </w:p>
        </w:tc>
      </w:tr>
      <w:tr>
        <w:trPr>
          <w:trHeight w:val="37"/>
        </w:trPr>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3060"/>
          </w:cols>
          <w:pgMar w:left="320" w:top="121" w:right="339" w:bottom="1440" w:gutter="0" w:footer="0" w:header="0"/>
          <w:type w:val="continuous"/>
        </w:sectPr>
      </w:pP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fluctuating commodity prices, we recognize lower of cost or net realizable value adjustments when the carrying value of our available-for-sale inventories exceeds their net realizable value. The following table presents our total cost of sales amounts and lower of cost or net realizable value adjustments for the periods indicated:</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sales (1)</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Lower of cost or net realizable value adjustments recognized in cost of sales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0"/>
          <w:szCs w:val="20"/>
          <w:color w:val="auto"/>
        </w:rPr>
      </w:pPr>
    </w:p>
    <w:p>
      <w:pPr>
        <w:ind w:left="420" w:right="20" w:hanging="412"/>
        <w:spacing w:after="0" w:line="302" w:lineRule="auto"/>
        <w:tabs>
          <w:tab w:leader="none" w:pos="4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of sales is a component of “Operating costs and expenses” as presented on our Unaudited Condensed Statements of Consolidated Operations. Fluctuations in these amounts are primarily due to changes in energy commodity prices and sales volumes associated with our marketing activities.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historical costs of our property, plant and equipment and related balances were as follows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60" w:type="dxa"/>
            <w:vAlign w:val="bottom"/>
          </w:tcPr>
          <w:p>
            <w:pPr>
              <w:spacing w:after="0"/>
              <w:rPr>
                <w:sz w:val="15"/>
                <w:szCs w:val="15"/>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60" w:type="dxa"/>
            <w:vAlign w:val="bottom"/>
          </w:tcPr>
          <w:p>
            <w:pPr>
              <w:spacing w:after="0"/>
              <w:rPr>
                <w:sz w:val="17"/>
                <w:szCs w:val="17"/>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0"/>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Plants, pipelines and facilities (1)(5)</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66,498</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Underground and other storage facilities (2)(6)</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Transportation equipment (3)</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0" w:type="dxa"/>
            <w:vAlign w:val="bottom"/>
          </w:tcPr>
          <w:p>
            <w:pPr>
              <w:spacing w:after="0"/>
              <w:rPr>
                <w:sz w:val="1"/>
                <w:szCs w:val="1"/>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Marine vessels (4)</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15-30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c>
          <w:tcPr>
            <w:tcW w:w="0" w:type="dxa"/>
            <w:vAlign w:val="bottom"/>
          </w:tcPr>
          <w:p>
            <w:pPr>
              <w:spacing w:after="0"/>
              <w:rPr>
                <w:sz w:val="1"/>
                <w:szCs w:val="1"/>
                <w:color w:val="auto"/>
              </w:rPr>
            </w:pPr>
          </w:p>
        </w:tc>
      </w:tr>
      <w:tr>
        <w:trPr>
          <w:trHeight w:val="31"/>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Subtotal</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76,333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75,472</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24,338</w:t>
            </w:r>
          </w:p>
        </w:tc>
        <w:tc>
          <w:tcPr>
            <w:tcW w:w="0" w:type="dxa"/>
            <w:vAlign w:val="bottom"/>
          </w:tcPr>
          <w:p>
            <w:pPr>
              <w:spacing w:after="0"/>
              <w:rPr>
                <w:sz w:val="1"/>
                <w:szCs w:val="1"/>
                <w:color w:val="auto"/>
              </w:rPr>
            </w:pPr>
          </w:p>
        </w:tc>
      </w:tr>
      <w:tr>
        <w:trPr>
          <w:trHeight w:val="30"/>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Subtotal property, plant and equipment, net</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51,134</w:t>
            </w:r>
          </w:p>
        </w:tc>
        <w:tc>
          <w:tcPr>
            <w:tcW w:w="0" w:type="dxa"/>
            <w:vAlign w:val="bottom"/>
          </w:tcPr>
          <w:p>
            <w:pPr>
              <w:spacing w:after="0"/>
              <w:rPr>
                <w:sz w:val="1"/>
                <w:szCs w:val="1"/>
                <w:color w:val="auto"/>
              </w:rPr>
            </w:pPr>
          </w:p>
        </w:tc>
      </w:tr>
      <w:tr>
        <w:trPr>
          <w:trHeight w:val="20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major maintenance costs for reaction-based plants, net of accumulated amortization (7)</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30"/>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51,359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6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right="20" w:hanging="412"/>
        <w:spacing w:after="0" w:line="261"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Plants, pipelines and facilities include distillation-based and reaction-based plants; NGL, natural gas, crude oil and petrochemical and refined products pipelines; terminal loading and unloading facilities; buildings; office furniture and equipment; laboratory and shop equipment and related assets.</w:t>
      </w:r>
    </w:p>
    <w:p>
      <w:pPr>
        <w:ind w:left="400" w:hanging="392"/>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Underground and other storage facilities include underground product storage caverns; above ground storage tanks; water wells and related assets.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Transportation equipment includes tractor-trailer tank trucks and other vehicles and similar assets used in our operations.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Marine vessels include tow boats, barges and related equipment used in our marine transportation business.</w:t>
      </w:r>
    </w:p>
    <w:p>
      <w:pPr>
        <w:spacing w:after="0" w:line="14" w:lineRule="exact"/>
        <w:rPr>
          <w:rFonts w:ascii="Times New Roman" w:cs="Times New Roman" w:eastAsia="Times New Roman" w:hAnsi="Times New Roman"/>
          <w:sz w:val="14"/>
          <w:szCs w:val="14"/>
          <w:color w:val="auto"/>
        </w:rPr>
      </w:pPr>
    </w:p>
    <w:p>
      <w:pPr>
        <w:ind w:left="420" w:hanging="412"/>
        <w:spacing w:after="0" w:line="251"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major assets within this category are: distillation-based and reaction-based plants, 20-35 years; pipelines and related equipment, 5-45 years; terminal facilities, 10-35 years; buildings, 20-40 years; office furniture and equipment, 3-20 years; and laboratory and shop equipment, 5-35 years.</w:t>
      </w:r>
    </w:p>
    <w:p>
      <w:pPr>
        <w:ind w:left="400" w:hanging="392"/>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general, the estimated useful lives of assets within this category are: underground storage facilities, 5-35 years; storage tanks, 10-40 years; and water wells, 5-35 years.</w:t>
      </w:r>
    </w:p>
    <w:p>
      <w:pPr>
        <w:spacing w:after="0" w:line="14" w:lineRule="exact"/>
        <w:rPr>
          <w:rFonts w:ascii="Times New Roman" w:cs="Times New Roman" w:eastAsia="Times New Roman" w:hAnsi="Times New Roman"/>
          <w:sz w:val="14"/>
          <w:szCs w:val="14"/>
          <w:color w:val="auto"/>
        </w:rPr>
      </w:pPr>
    </w:p>
    <w:p>
      <w:pPr>
        <w:ind w:left="420" w:hanging="412"/>
        <w:spacing w:after="0" w:line="283" w:lineRule="auto"/>
        <w:tabs>
          <w:tab w:leader="none" w:pos="41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reaction-based plants, we use the deferral method when accounting for major maintenance activities. Under the deferral method, major maintenance costs are capitalized and amortized over the period until the next major overhaul project. On a weighted-average basis, the expected remaining amortization period for these costs is 1.8 years.</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plant and equipment at March 31, 2026 and December 31, 2025 includes $139 million and $141 million, respectively, of asset retirement costs capitalized as an increase in the associated long-lived asset.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asset retirement obligations, or AROs, since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ARO liability balance, December 31, 2025</w:t>
            </w:r>
          </w:p>
        </w:tc>
        <w:tc>
          <w:tcPr>
            <w:tcW w:w="64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r>
      <w:tr>
        <w:trPr>
          <w:trHeight w:val="193"/>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 incurred (1)</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9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9"/>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Revisions in estimated cash flows (2)</w:t>
            </w:r>
          </w:p>
        </w:tc>
        <w:tc>
          <w:tcPr>
            <w:tcW w:w="6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97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Liabilities settled (3)</w:t>
            </w:r>
          </w:p>
        </w:tc>
        <w:tc>
          <w:tcPr>
            <w:tcW w:w="6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9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42"/>
        </w:trPr>
        <w:tc>
          <w:tcPr>
            <w:tcW w:w="9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(4)</w:t>
            </w:r>
          </w:p>
        </w:tc>
        <w:tc>
          <w:tcPr>
            <w:tcW w:w="6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24"/>
        </w:trPr>
        <w:tc>
          <w:tcPr>
            <w:tcW w:w="97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ARO liability balance, March 31, 2026</w:t>
            </w:r>
          </w:p>
        </w:tc>
        <w:tc>
          <w:tcPr>
            <w:tcW w:w="640" w:type="dxa"/>
            <w:vAlign w:val="bottom"/>
            <w:tcBorders>
              <w:top w:val="single" w:sz="8" w:color="auto"/>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w:t>
            </w:r>
          </w:p>
        </w:tc>
      </w:tr>
      <w:tr>
        <w:trPr>
          <w:trHeight w:val="26"/>
        </w:trPr>
        <w:tc>
          <w:tcPr>
            <w:tcW w:w="97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6"/>
        </w:trPr>
        <w:tc>
          <w:tcPr>
            <w:tcW w:w="97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bl>
    <w:p>
      <w:pPr>
        <w:spacing w:after="0" w:line="58" w:lineRule="exact"/>
        <w:rPr>
          <w:sz w:val="20"/>
          <w:szCs w:val="20"/>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initial recognition of estimated ARO liabilities during the period.</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subsequent adjustments to estimated ARO liabilities during the period.</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payments to settle ARO liabilities during the period.</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net change in ARO liability balance attributable to the passage of time and other adjustments, including true-up amounts associated with revised closure estimates.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$292 million total ARO liability recorded at March 31, 2026, $3 million was reflected as a current liability and $289 million as a long-term liability.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 and capitalized interest amounts for the periods indicated:</w:t>
      </w:r>
    </w:p>
    <w:p>
      <w:pPr>
        <w:spacing w:after="0" w:line="273"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33020</wp:posOffset>
            </wp:positionV>
            <wp:extent cx="192913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2913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2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expense (1)</w:t>
            </w:r>
          </w:p>
        </w:tc>
        <w:tc>
          <w:tcPr>
            <w:tcW w:w="104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r>
      <w:tr>
        <w:trPr>
          <w:trHeight w:val="193"/>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Capitalized interest (2)</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expense is a component of “Costs and expenses” as presented on our Unaudited Condensed Statements of Consolidated Operations.</w:t>
      </w:r>
    </w:p>
    <w:p>
      <w:pPr>
        <w:spacing w:after="0" w:line="17" w:lineRule="exact"/>
        <w:rPr>
          <w:rFonts w:ascii="Times New Roman" w:cs="Times New Roman" w:eastAsia="Times New Roman" w:hAnsi="Times New Roman"/>
          <w:sz w:val="14"/>
          <w:szCs w:val="14"/>
          <w:color w:val="auto"/>
        </w:rPr>
      </w:pPr>
    </w:p>
    <w:p>
      <w:pPr>
        <w:jc w:val="both"/>
        <w:ind w:left="420" w:hanging="412"/>
        <w:spacing w:after="0" w:line="270" w:lineRule="auto"/>
        <w:tabs>
          <w:tab w:leader="none" w:pos="41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capitalize interest costs incurred on funds used to construct property, plant and equipment while the asset is in its construction phase. The capitalized interest is recorded as part of the asset to which it relates and is amortized over the asset’s estimated useful life as a component of depreciation expense. When capitalized interest is recorded, it reduces interest expense from what it would be otherwise.</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Investments in Unconsolidated Affiliates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investments in unconsolidated affiliates by business segment at the dates indicated. We account for these investments using the equity method.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w:t>
            </w:r>
          </w:p>
        </w:tc>
      </w:tr>
      <w:tr>
        <w:trPr>
          <w:trHeight w:val="37"/>
        </w:trPr>
        <w:tc>
          <w:tcPr>
            <w:tcW w:w="8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0"/>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equity in income of unconsolidated affiliates by business segment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7"/>
        </w:trPr>
        <w:tc>
          <w:tcPr>
            <w:tcW w:w="8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0"/>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Identifiable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intangible assets by business segment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374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6"/>
                <w:szCs w:val="16"/>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44"/>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7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374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40" w:type="dxa"/>
            <w:vAlign w:val="bottom"/>
            <w:tcBorders>
              <w:bottom w:val="single" w:sz="8" w:color="CCEEFF"/>
            </w:tcBorders>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30"/>
        </w:trPr>
        <w:tc>
          <w:tcPr>
            <w:tcW w:w="3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Segment total</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66"/>
        </w:trPr>
        <w:tc>
          <w:tcPr>
            <w:tcW w:w="3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2,195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0"/>
        </w:trPr>
        <w:tc>
          <w:tcPr>
            <w:tcW w:w="3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Segment total</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w:t>
            </w:r>
          </w:p>
        </w:tc>
        <w:tc>
          <w:tcPr>
            <w:tcW w:w="0" w:type="dxa"/>
            <w:vAlign w:val="bottom"/>
          </w:tcPr>
          <w:p>
            <w:pPr>
              <w:spacing w:after="0"/>
              <w:rPr>
                <w:sz w:val="1"/>
                <w:szCs w:val="1"/>
                <w:color w:val="auto"/>
              </w:rPr>
            </w:pPr>
          </w:p>
        </w:tc>
      </w:tr>
      <w:tr>
        <w:trPr>
          <w:trHeight w:val="166"/>
        </w:trPr>
        <w:tc>
          <w:tcPr>
            <w:tcW w:w="3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w:t>
            </w:r>
          </w:p>
        </w:tc>
        <w:tc>
          <w:tcPr>
            <w:tcW w:w="0" w:type="dxa"/>
            <w:vAlign w:val="bottom"/>
          </w:tcPr>
          <w:p>
            <w:pPr>
              <w:spacing w:after="0"/>
              <w:rPr>
                <w:sz w:val="1"/>
                <w:szCs w:val="1"/>
                <w:color w:val="auto"/>
              </w:rPr>
            </w:pPr>
          </w:p>
        </w:tc>
      </w:tr>
      <w:tr>
        <w:trPr>
          <w:trHeight w:val="30"/>
        </w:trPr>
        <w:tc>
          <w:tcPr>
            <w:tcW w:w="3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Segment total</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0" w:type="dxa"/>
            <w:vAlign w:val="bottom"/>
          </w:tcPr>
          <w:p>
            <w:pPr>
              <w:spacing w:after="0"/>
              <w:rPr>
                <w:sz w:val="1"/>
                <w:szCs w:val="1"/>
                <w:color w:val="auto"/>
              </w:rPr>
            </w:pPr>
          </w:p>
        </w:tc>
      </w:tr>
      <w:tr>
        <w:trPr>
          <w:trHeight w:val="166"/>
        </w:trPr>
        <w:tc>
          <w:tcPr>
            <w:tcW w:w="37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7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3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Customer relationship intangibles</w:t>
            </w:r>
          </w:p>
        </w:tc>
        <w:tc>
          <w:tcPr>
            <w:tcW w:w="7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6"/>
        </w:trPr>
        <w:tc>
          <w:tcPr>
            <w:tcW w:w="3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Contract-based intangibles</w:t>
            </w:r>
          </w:p>
        </w:tc>
        <w:tc>
          <w:tcPr>
            <w:tcW w:w="7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30"/>
        </w:trPr>
        <w:tc>
          <w:tcPr>
            <w:tcW w:w="37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37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Segment total</w:t>
            </w:r>
          </w:p>
        </w:tc>
        <w:tc>
          <w:tcPr>
            <w:tcW w:w="7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25"/>
        </w:trPr>
        <w:tc>
          <w:tcPr>
            <w:tcW w:w="3740" w:type="dxa"/>
            <w:vAlign w:val="bottom"/>
            <w:tcBorders>
              <w:top w:val="single" w:sz="8" w:color="CCEEFF"/>
            </w:tcBorders>
          </w:tcPr>
          <w:p>
            <w:pPr>
              <w:ind w:left="400"/>
              <w:spacing w:after="0"/>
              <w:rPr>
                <w:sz w:val="20"/>
                <w:szCs w:val="20"/>
                <w:color w:val="auto"/>
              </w:rPr>
            </w:pPr>
            <w:r>
              <w:rPr>
                <w:rFonts w:ascii="Times New Roman" w:cs="Times New Roman" w:eastAsia="Times New Roman" w:hAnsi="Times New Roman"/>
                <w:sz w:val="14"/>
                <w:szCs w:val="14"/>
                <w:color w:val="auto"/>
              </w:rPr>
              <w:t>Total intangible assets</w:t>
            </w:r>
          </w:p>
        </w:tc>
        <w:tc>
          <w:tcPr>
            <w:tcW w:w="740" w:type="dxa"/>
            <w:vAlign w:val="bottom"/>
            <w:tcBorders>
              <w:top w:val="single" w:sz="8" w:color="auto"/>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6,711</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6,709</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4,159</w:t>
            </w: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of our intangible assets by business segment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10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37"/>
        </w:trPr>
        <w:tc>
          <w:tcPr>
            <w:tcW w:w="8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0"/>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forecast of amortization expense associated with existing intangible assets for the periods indicated:</w:t>
      </w:r>
    </w:p>
    <w:p>
      <w:pPr>
        <w:spacing w:after="0" w:line="273" w:lineRule="exact"/>
        <w:rPr>
          <w:sz w:val="20"/>
          <w:szCs w:val="20"/>
          <w:color w:val="auto"/>
        </w:rPr>
      </w:pPr>
    </w:p>
    <w:tbl>
      <w:tblPr>
        <w:tblLayout w:type="fixed"/>
        <w:tblInd w:w="208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2030</w:t>
            </w:r>
          </w:p>
        </w:tc>
      </w:tr>
      <w:tr>
        <w:trPr>
          <w:trHeight w:val="44"/>
        </w:trPr>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93"/>
        </w:trPr>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r>
      <w:tr>
        <w:trPr>
          <w:trHeight w:val="37"/>
        </w:trPr>
        <w:tc>
          <w:tcPr>
            <w:tcW w:w="22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of an acquired business over the amounts assigned to assets acquired and liabilities assumed in the transaction. There has been no change in our goodwill amounts since those reported in our 2025 Form 10-K.</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Debt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consolidated debt obligations (arranged by company and maturity date) at the dates indicated: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6"/>
        </w:trPr>
        <w:tc>
          <w:tcPr>
            <w:tcW w:w="8180" w:type="dxa"/>
            <w:vAlign w:val="bottom"/>
          </w:tcPr>
          <w:p>
            <w:pPr>
              <w:spacing w:after="0"/>
              <w:rPr>
                <w:sz w:val="14"/>
                <w:szCs w:val="14"/>
                <w:color w:val="auto"/>
              </w:rPr>
            </w:pPr>
          </w:p>
        </w:tc>
        <w:tc>
          <w:tcPr>
            <w:tcW w:w="104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36"/>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EPO senior debt obligations:</w:t>
            </w: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1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Commercial Paper Notes, variable-rates</w:t>
            </w:r>
          </w:p>
        </w:tc>
        <w:tc>
          <w:tcPr>
            <w:tcW w:w="1040" w:type="dxa"/>
            <w:vAlign w:val="bottom"/>
            <w:tcBorders>
              <w:bottom w:val="single" w:sz="8" w:color="CCEEFF"/>
            </w:tcBorders>
            <w:shd w:val="clear" w:color="auto" w:fill="CCEEFF"/>
          </w:tcPr>
          <w:p>
            <w:pPr>
              <w:jc w:val="right"/>
              <w:ind w:right="8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FFF, 5.05% fixed-rate, due January 2026</w:t>
            </w:r>
          </w:p>
        </w:tc>
        <w:tc>
          <w:tcPr>
            <w:tcW w:w="10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PP, 3.70% fixed-rate, due February 2026</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HHH, 4.60% fixed-rate, due January 2027</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SS, 3.95% fixed-rate, due February 2027</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March 2026 $1.5 Billion 364-Day Revolving Credit Agreement, variable-rate, due March 2027 (1)</w:t>
            </w:r>
          </w:p>
        </w:tc>
        <w:tc>
          <w:tcPr>
            <w:tcW w:w="10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LLL, 4.30% fixed-rate, due June 2028</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WW, 4.15% fixed-rate, due October 2028</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YY, 3.125% fixed-rate, due July 2029</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AAA, 2.80% fixed-rate, due January 2030</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March 2023 $2.7 Billion Multi-Year Revolving Credit Agreement, variable-rate, due March 2030 (2)</w:t>
            </w:r>
          </w:p>
        </w:tc>
        <w:tc>
          <w:tcPr>
            <w:tcW w:w="10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MMM, 4.60% fixed-rate, due January 2031</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GGG, 5.35% fixed-rate, due January 2033</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D, 6.875% fixed-rate, due March 2033</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III, 4.85% fixed-rate, due January 2034</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H, 6.65% fixed-rate, due October 2034</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JJJ 4.95% fixed-rate, due February 2035</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J, 5.75% fixed-rate, due March 2035</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NNN, 5.20% fixed-rate, due January 2036</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W, 7.55% fixed-rate, due April 2038</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R, 6.125% fixed-rate, due October 2039</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Z, 6.45% fixed-rate, due September 2040</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BB, 5.95% fixed-rate, due February 2041</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DD, 5.70% fixed-rate, due February 2042</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EE, 4.85% fixed-rate, due August 2042</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GG, 4.45% fixed-rate, due February 2043</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II, 4.85% fixed-rate, due March 2044</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KK, 5.10% fixed-rate, due February 2045</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QQ, 4.90% fixed-rate, due May 2046</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UU, 4.25% fixed-rate, due February 2048</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XX, 4.80% fixed-rate, due February 2049</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ZZ, 4.20% fixed-rate, due January 2050</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BBB, 3.70% fixed-rate, due January 2051</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DDD, 3.20% fixed-rate, due February 2052</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EEE, 3.30% fixed-rate, due February 2053</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Senior Notes NN, 4.95% fixed-rate, due October 2054</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Senior Notes KKK, 5.55% fixed-rate, due February 2055</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Senior Notes CCC, 3.95% fixed-rate, due January 2060</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76"/>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principal amount of senior debt obligations</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31,940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32,425</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EPO Junior Subordinated Notes C, variable-rate, due June 2067 </w:t>
            </w:r>
            <w:r>
              <w:rPr>
                <w:rFonts w:ascii="Times New Roman" w:cs="Times New Roman" w:eastAsia="Times New Roman" w:hAnsi="Times New Roman"/>
                <w:sz w:val="13"/>
                <w:szCs w:val="13"/>
                <w:color w:val="auto"/>
              </w:rPr>
              <w:t>(3)</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EPO Junior Subordinated Notes D, variable-rate, due August 2077 </w:t>
            </w:r>
            <w:r>
              <w:rPr>
                <w:rFonts w:ascii="Times New Roman" w:cs="Times New Roman" w:eastAsia="Times New Roman" w:hAnsi="Times New Roman"/>
                <w:sz w:val="13"/>
                <w:szCs w:val="13"/>
                <w:color w:val="auto"/>
              </w:rPr>
              <w:t>(4)</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EPO Junior Subordinated Notes E, fixed/variable-rate, due August 2077 </w:t>
            </w:r>
            <w:r>
              <w:rPr>
                <w:rFonts w:ascii="Times New Roman" w:cs="Times New Roman" w:eastAsia="Times New Roman" w:hAnsi="Times New Roman"/>
                <w:sz w:val="13"/>
                <w:szCs w:val="13"/>
                <w:color w:val="auto"/>
              </w:rPr>
              <w:t>(5)</w:t>
            </w: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EPO Junior Subordinated Notes F, fixed/variable-rate, due February 2078 </w:t>
            </w:r>
            <w:r>
              <w:rPr>
                <w:rFonts w:ascii="Times New Roman" w:cs="Times New Roman" w:eastAsia="Times New Roman" w:hAnsi="Times New Roman"/>
                <w:sz w:val="13"/>
                <w:szCs w:val="13"/>
                <w:color w:val="auto"/>
              </w:rPr>
              <w:t>(6)</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0" w:type="dxa"/>
            <w:vAlign w:val="bottom"/>
          </w:tcPr>
          <w:p>
            <w:pPr>
              <w:spacing w:after="0"/>
              <w:rPr>
                <w:sz w:val="1"/>
                <w:szCs w:val="1"/>
                <w:color w:val="auto"/>
              </w:rPr>
            </w:pPr>
          </w:p>
        </w:tc>
      </w:tr>
      <w:tr>
        <w:trPr>
          <w:trHeight w:val="173"/>
        </w:trPr>
        <w:tc>
          <w:tcPr>
            <w:tcW w:w="8180" w:type="dxa"/>
            <w:vAlign w:val="bottom"/>
            <w:tcBorders>
              <w:top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Total principal amount of senior and junior debt obligations</w:t>
            </w: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34,222</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34,707</w:t>
            </w:r>
          </w:p>
        </w:tc>
        <w:tc>
          <w:tcPr>
            <w:tcW w:w="0" w:type="dxa"/>
            <w:vAlign w:val="bottom"/>
          </w:tcPr>
          <w:p>
            <w:pPr>
              <w:spacing w:after="0"/>
              <w:rPr>
                <w:sz w:val="1"/>
                <w:szCs w:val="1"/>
                <w:color w:val="auto"/>
              </w:rPr>
            </w:pPr>
          </w:p>
        </w:tc>
      </w:tr>
      <w:tr>
        <w:trPr>
          <w:trHeight w:val="30"/>
        </w:trPr>
        <w:tc>
          <w:tcPr>
            <w:tcW w:w="8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non-principal amounts</w:t>
            </w:r>
          </w:p>
        </w:tc>
        <w:tc>
          <w:tcPr>
            <w:tcW w:w="10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3"/>
                <w:szCs w:val="13"/>
                <w:color w:val="auto"/>
              </w:rPr>
              <w:t>Less current maturities of debt</w:t>
            </w:r>
          </w:p>
        </w:tc>
        <w:tc>
          <w:tcPr>
            <w:tcW w:w="10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(1,625)</w:t>
            </w:r>
          </w:p>
        </w:tc>
        <w:tc>
          <w:tcPr>
            <w:tcW w:w="0" w:type="dxa"/>
            <w:vAlign w:val="bottom"/>
          </w:tcPr>
          <w:p>
            <w:pPr>
              <w:spacing w:after="0"/>
              <w:rPr>
                <w:sz w:val="1"/>
                <w:szCs w:val="1"/>
                <w:color w:val="auto"/>
              </w:rPr>
            </w:pPr>
          </w:p>
        </w:tc>
      </w:tr>
      <w:tr>
        <w:trPr>
          <w:trHeight w:val="220"/>
        </w:trPr>
        <w:tc>
          <w:tcPr>
            <w:tcW w:w="81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Total long-term debt</w:t>
            </w:r>
          </w:p>
        </w:tc>
        <w:tc>
          <w:tcPr>
            <w:tcW w:w="1040" w:type="dxa"/>
            <w:vAlign w:val="bottom"/>
            <w:tcBorders>
              <w:bottom w:val="single" w:sz="8" w:color="auto"/>
            </w:tcBorders>
            <w:shd w:val="clear" w:color="auto" w:fill="CCEEFF"/>
          </w:tcPr>
          <w:p>
            <w:pPr>
              <w:jc w:val="right"/>
              <w:ind w:right="89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32,770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8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00" w:hanging="39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terms of the agreement, EPO may borrow up to $1.5 billion (which may be increased by up to $200 million to $1.7 billion at EPO’s election provided certain conditions are met).</w:t>
      </w:r>
    </w:p>
    <w:p>
      <w:pPr>
        <w:spacing w:after="0" w:line="9" w:lineRule="exact"/>
        <w:rPr>
          <w:rFonts w:ascii="Times New Roman" w:cs="Times New Roman" w:eastAsia="Times New Roman" w:hAnsi="Times New Roman"/>
          <w:sz w:val="12"/>
          <w:szCs w:val="12"/>
          <w:color w:val="auto"/>
        </w:rPr>
      </w:pPr>
    </w:p>
    <w:p>
      <w:pPr>
        <w:ind w:left="400" w:hanging="392"/>
        <w:spacing w:after="0" w:line="234" w:lineRule="auto"/>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terms of the agreement, EPO may borrow up to $2.7 billion (which may be increased by up to $500 million to $3.2 billion at EPO’s election provided certain conditions are met).</w:t>
      </w:r>
    </w:p>
    <w:p>
      <w:pPr>
        <w:ind w:left="400" w:hanging="39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Variable rate is reset quarterly and based on 3-month Chicago Mercantile Exchange (“CME”) Term Secured Overnight Financing Rate (“SOFR”) plus (a) a 0.26161% tenor spread adjustment and (b) 2.778%.</w:t>
      </w:r>
    </w:p>
    <w:p>
      <w:pPr>
        <w:ind w:left="400" w:hanging="39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Variable rate is reset quarterly and based on 3-month CME Term SOFR plus (a) a 0.26161% tenor spread adjustment and (b) 2.986%.</w:t>
      </w:r>
    </w:p>
    <w:p>
      <w:pPr>
        <w:spacing w:after="0" w:line="7" w:lineRule="exact"/>
        <w:rPr>
          <w:rFonts w:ascii="Times New Roman" w:cs="Times New Roman" w:eastAsia="Times New Roman" w:hAnsi="Times New Roman"/>
          <w:sz w:val="12"/>
          <w:szCs w:val="12"/>
          <w:color w:val="auto"/>
        </w:rPr>
      </w:pPr>
    </w:p>
    <w:p>
      <w:pPr>
        <w:ind w:left="400" w:hanging="39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Fixed rate of 5.250% through August 15, 2027; thereafter, a variable rate reset quarterly and based on 3-month CME Term SOFR plus (a) a 0.26161% tenor spread adjustment and (b) 3.033%.</w:t>
      </w:r>
    </w:p>
    <w:p>
      <w:pPr>
        <w:ind w:left="400" w:hanging="392"/>
        <w:spacing w:after="0"/>
        <w:tabs>
          <w:tab w:leader="none" w:pos="4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Fixed rate of 5.375% through February 14, 2028; thereafter, a variable rate reset quarterly and based on 3-month CME Term SOFR plus (a) a 0.26161% tenor spread adjustment and (b) 2.57%.</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Rates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range of interest rates and weighted-average interest rates paid on our consolidated variable-rate debt during the three months ended March 31,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Interest</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90"/>
        </w:trPr>
        <w:tc>
          <w:tcPr>
            <w:tcW w:w="784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Rates Paid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 Paid</w:t>
            </w:r>
          </w:p>
        </w:tc>
      </w:tr>
      <w:tr>
        <w:trPr>
          <w:trHeight w:val="44"/>
        </w:trPr>
        <w:tc>
          <w:tcPr>
            <w:tcW w:w="78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09"/>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 Notes</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3.78% to 4.06%</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3.86%</w:t>
            </w:r>
          </w:p>
        </w:tc>
      </w:tr>
      <w:tr>
        <w:trPr>
          <w:trHeight w:val="193"/>
        </w:trPr>
        <w:tc>
          <w:tcPr>
            <w:tcW w:w="7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EPO Junior Subordinated Notes C</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6.71% to 6.83%</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6.79%</w:t>
            </w:r>
          </w:p>
        </w:tc>
      </w:tr>
      <w:tr>
        <w:trPr>
          <w:trHeight w:val="37"/>
        </w:trPr>
        <w:tc>
          <w:tcPr>
            <w:tcW w:w="78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19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EPO Junior Subordinated Notes D</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6.90% to 7.10%</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7.00%</w:t>
            </w:r>
          </w:p>
        </w:tc>
      </w:tr>
      <w:tr>
        <w:trPr>
          <w:trHeight w:val="37"/>
        </w:trPr>
        <w:tc>
          <w:tcPr>
            <w:tcW w:w="784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Amounts borrowed under EPO’s March 2026 $1.5 Billion 364-Day Revolving Credit Agreement and March 2023 $2.7 Billion Multi-Year Revolving Credit Agreement bear interest, at EPO’s election, equal to: (i) SOFR, plus an additional variable spread; or (ii) an alternate base rate, which is the greatest of (a) the Prime Rate in effect on such day, (b) the Federal Funds Effective Rate in effect on such day plus 0.5%, or (c) Adjusted Term SOFR, for an interest period of one month in effect on such day plus 1%, and a variable spread. The applicable spreads are determined based on EPO’s debt ratings.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Scheduled Maturities of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scheduled maturities of principal amounts of EPO’s consolidated debt obligations at March 31, 2026 for the next five years, and in total thereafter: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Scheduled Maturities of Debt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4"/>
        </w:trPr>
        <w:tc>
          <w:tcPr>
            <w:tcW w:w="2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64"/>
        </w:trPr>
        <w:tc>
          <w:tcPr>
            <w:tcW w:w="2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4"/>
        </w:trPr>
        <w:tc>
          <w:tcPr>
            <w:tcW w:w="2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260" w:type="dxa"/>
            <w:vAlign w:val="bottom"/>
          </w:tcPr>
          <w:p>
            <w:pPr>
              <w:spacing w:after="0"/>
              <w:rPr>
                <w:sz w:val="17"/>
                <w:szCs w:val="17"/>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44"/>
        </w:trPr>
        <w:tc>
          <w:tcPr>
            <w:tcW w:w="2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1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 Notes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24,925</w:t>
            </w:r>
          </w:p>
        </w:tc>
      </w:tr>
      <w:tr>
        <w:trPr>
          <w:trHeight w:val="37"/>
        </w:trPr>
        <w:tc>
          <w:tcPr>
            <w:tcW w:w="2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1"/>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Notes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225"/>
        </w:trPr>
        <w:tc>
          <w:tcPr>
            <w:tcW w:w="274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27,207</w:t>
            </w:r>
          </w:p>
        </w:tc>
      </w:tr>
      <w:tr>
        <w:trPr>
          <w:trHeight w:val="25"/>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2026 $1.5 Billion 364-Day Revolving Credit Agreement</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March 2026, EPO entered into a new 364-Day Revolving Credit Agreement (the “March 2026 $1.5 Billion 364-Day Revolving Credit Agreement”) that replaced its prior 364-day revolving credit agreement. As of March 31, 2026, there were no principal amounts outstanding under the March 2026 $1.5 Billion 364-Day Revolving Credit Agreement.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March 2026 $1.5 Billion 364-Day Revolving Credit Agreement, EPO may borrow up to $1.5 billion (which may be increased by up to $200 million to $1.7 billion at EPO’s election, provided certain conditions are met) at a variable interest rate for a term of up to 364 days, subject to the terms and conditions set forth therein. The March 2026 $1.5 Billion 364-Day Revolving Credit Agreement matures in March 2027. To the extent that principal amounts are outstanding at the maturity date, EPO may elect to have the entire principal balance then outstanding continued as non-revolving term loans for a period of one additional year, payable in March 2028. Borrowings under the March 2026 $1.5 Billion 364-Day Revolving Credit Agreement may be used for working capital, capital expenditures, acquisitions and general company purposes.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March 2026 $1.5 Billion 364-Day Revolving Credit Agreement contains customary representations, warranties, covenants (affirmative and negative) and events of default, the occurrence of which would permit the lenders to accelerate the maturity date of any amounts borrowed under this credit agreement. The March 2026 $1.5 Billion 364-Day Revolving Credit Agreement also restricts EPO’s ability to pay cash distributions to the Partnership, if an event of default (as defined in the credit agreement) has occurred and is continuing at the time such distribution is scheduled to be paid or would result therefrom.</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EPO’s obligations under the March 2026 $1.5 Billion 364-Day Revolving Credit Agreement are not secured by any collateral; however, they are guaranteed by the Partnership.</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EPO had $35 million of letters of credit outstanding primarily related to our insurance program.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Lender Financial Covenants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the financial covenants of our consolidated debt agreements at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acts as guarantor of the consolidated debt obligations of EPO. If EPO were to default on any of its guaranteed debt, the Partnership would be responsible for full and unconditional repayment of such obligations.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Capital Accounts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Limited Partner Interests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changes in the number of our common units outstanding since December 31, 2025:</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units outstanding at December 31, 2025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2,161,760,683</w:t>
            </w:r>
          </w:p>
        </w:tc>
      </w:tr>
      <w:tr>
        <w:trPr>
          <w:trHeight w:val="193"/>
        </w:trPr>
        <w:tc>
          <w:tcPr>
            <w:tcW w:w="9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Common unit repurchases under 2019 Buyback Program</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(3,124,192)</w:t>
            </w:r>
          </w:p>
        </w:tc>
      </w:tr>
      <w:tr>
        <w:trPr>
          <w:trHeight w:val="37"/>
        </w:trPr>
        <w:tc>
          <w:tcPr>
            <w:tcW w:w="976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10"/>
        </w:trPr>
        <w:tc>
          <w:tcPr>
            <w:tcW w:w="97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units issued in connection with the vesting of phantom unit awards,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4,866,420</w:t>
            </w:r>
          </w:p>
        </w:tc>
      </w:tr>
      <w:tr>
        <w:trPr>
          <w:trHeight w:val="192"/>
        </w:trPr>
        <w:tc>
          <w:tcPr>
            <w:tcW w:w="97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15,360</w:t>
            </w:r>
          </w:p>
        </w:tc>
      </w:tr>
      <w:tr>
        <w:trPr>
          <w:trHeight w:val="37"/>
        </w:trPr>
        <w:tc>
          <w:tcPr>
            <w:tcW w:w="976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Common units outstanding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2,163,518,271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Statements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a universal shelf registration statement on file with the SEC which allows the Partnership and EPO (each on a standalone basis) to issue an unlimited amount of equity and debt securities, respectively.</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Partnership has a registration statement on file with the SEC covering the issuance of up to $2.5 billion of its common units in amounts, at prices and on terms based on market conditions and other factors at the time of such offerings (referred to as the Partnership’s at-the-market (“ATM”) program). The Partnership did not issue any common units under its ATM program during the three months ended March 31, 2026. The Partnership’s capacity to issue additional common units under the ATM program remains at $2.5 billion as of March 31,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additional equity and debt securities to assist us in meeting our future liquidity requirements, including those related to capital investments.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 Repurchases Under 2019 Buyback Program</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In October 2025, we announced that the Board approved an increase to the authorized maximum aggregate purchase price (excluding fees, commissions and other ancillary expenses) of the Partnership’s common units that may be repurchased under the 2019 Buyback Program from $2.0 billion to $5.0 billion. The 2019 Buyback Program authorizes the Partnership to repurchase its common units from time to time, including through open market purchases and negotiated transactions. No time limit has been set for completion of the program, and it may be suspended or discontinued at any time.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and 2025, the Partnership repurchased 3,124,192 and 1,803,215 common units, respectively, under the 2019 Buyback Program. The total cost of these repurchases, including commissions and fees, was $116 million and $60 million, respectively. Common units repurchased under the 2019 Buyback Program are immediately cancelled upon acquisition. At March 31, 2026, the remaining available capacity under the 2019 Buyback Program was $3.4 billion.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Issued in Connection With the Vesting of Phantom Unit Awards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After taking into account tax withholding requirements, the Partnership issued 4,866,420 new common units to employees in connection with the vesting of phantom unit awards during the three months ended March 31, 2026. See Note 12 for information regarding our phantom unit awards.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Units Delivered Under DRIP and EUPP</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Partnership has registration statements on file with the SEC in connection with its distribution reinvestment plan (“DRIP”) and employee unit purchase plan (“EUPP”). In July 2019, the Partnership announced that, beginning with the quarterly distribution payment paid in August 2019, it would use common units purchased on the open market, rather than issuing new common units, to satisfy its delivery obligations under the DRIP and EUPP. This election is subject to change in future quarters depending on the Partnership’s need for equity capital.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agents of the Partnership purchased 1,013,933 common units on the open market and delivered them to participants in the DRIP and EUPP. Apart from $1 million attributable to the plan discount available to all participants in the EUPP, the funds used to effect these purchases were sourced from the DRIP and EUPP participants. No other Partnership funds were used to satisfy these obligations. We plan to use open market purchases to satisfy DRIP and EUPP reinvestments in connection with the distribution expected to be paid on May 14,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were 45,412 Series A Cumulative Convertible Preferred Units (“preferred units”) outstanding. There were no changes in the number of preferred units outstanding during the three months ended March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 the capital accounts attributable to our preferred unitholders as mezzanine equity on our consolidated balance sheets since the terms of the preferred units allow for cash redemption by such unitholders in the event of a Change of Control (as defined in our partnership agreement), without regard to the likelihood of such an event.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Partnership made quarterly cash distributions to its preferred unitholders of $1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components of accumulated other comprehensive income (loss) as reported on our Unaudited Condensed Consolidated Balance Sheets at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restart"/>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0" w:type="dxa"/>
            <w:vAlign w:val="bottom"/>
          </w:tcPr>
          <w:p>
            <w:pPr>
              <w:spacing w:after="0"/>
              <w:rPr>
                <w:sz w:val="1"/>
                <w:szCs w:val="1"/>
                <w:color w:val="auto"/>
              </w:rPr>
            </w:pPr>
          </w:p>
        </w:tc>
      </w:tr>
      <w:tr>
        <w:trPr>
          <w:trHeight w:val="193"/>
        </w:trPr>
        <w:tc>
          <w:tcPr>
            <w:tcW w:w="6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37"/>
        </w:trPr>
        <w:tc>
          <w:tcPr>
            <w:tcW w:w="6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6"/>
        </w:trPr>
        <w:tc>
          <w:tcPr>
            <w:tcW w:w="63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0" w:type="dxa"/>
            <w:vAlign w:val="bottom"/>
          </w:tcPr>
          <w:p>
            <w:pPr>
              <w:spacing w:after="0"/>
              <w:rPr>
                <w:sz w:val="1"/>
                <w:szCs w:val="1"/>
                <w:color w:val="auto"/>
              </w:rPr>
            </w:pPr>
          </w:p>
        </w:tc>
      </w:tr>
      <w:tr>
        <w:trPr>
          <w:trHeight w:val="30"/>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March 31, 2026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Cash Flow Hedges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63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4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63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December 31, 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93"/>
        </w:trPr>
        <w:tc>
          <w:tcPr>
            <w:tcW w:w="6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 for period, before reclassifications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7"/>
        </w:trPr>
        <w:tc>
          <w:tcPr>
            <w:tcW w:w="6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Reclassification of losses (gains) to net income during period</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6"/>
        </w:trPr>
        <w:tc>
          <w:tcPr>
            <w:tcW w:w="63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other comprehensive income (loss) for period</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1"/>
        </w:trPr>
        <w:tc>
          <w:tcPr>
            <w:tcW w:w="6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 Comprehensive Income (Loss),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reclassifications of (income) loss out of accumulated other comprehensive income (loss) into net income during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44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44"/>
        </w:trPr>
        <w:tc>
          <w:tcPr>
            <w:tcW w:w="4400" w:type="dxa"/>
            <w:vAlign w:val="bottom"/>
          </w:tcPr>
          <w:p>
            <w:pPr>
              <w:spacing w:after="0"/>
              <w:rPr>
                <w:sz w:val="3"/>
                <w:szCs w:val="3"/>
                <w:color w:val="auto"/>
              </w:rPr>
            </w:pPr>
          </w:p>
        </w:tc>
        <w:tc>
          <w:tcPr>
            <w:tcW w:w="4240" w:type="dxa"/>
            <w:vAlign w:val="bottom"/>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6"/>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Losses (gains) on cash flow hedges:</w:t>
            </w:r>
          </w:p>
        </w:tc>
        <w:tc>
          <w:tcPr>
            <w:tcW w:w="424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1"/>
        </w:trPr>
        <w:tc>
          <w:tcPr>
            <w:tcW w:w="4400" w:type="dxa"/>
            <w:vAlign w:val="bottom"/>
            <w:tcBorders>
              <w:bottom w:val="single" w:sz="8" w:color="CCEEFF"/>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14</w:t>
            </w:r>
          </w:p>
        </w:tc>
      </w:tr>
      <w:tr>
        <w:trPr>
          <w:trHeight w:val="37"/>
        </w:trPr>
        <w:tc>
          <w:tcPr>
            <w:tcW w:w="4400" w:type="dxa"/>
            <w:vAlign w:val="bottom"/>
          </w:tcPr>
          <w:p>
            <w:pPr>
              <w:spacing w:after="0"/>
              <w:rPr>
                <w:sz w:val="3"/>
                <w:szCs w:val="3"/>
                <w:color w:val="auto"/>
              </w:rPr>
            </w:pPr>
          </w:p>
        </w:tc>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12</w:t>
            </w:r>
          </w:p>
        </w:tc>
      </w:tr>
      <w:tr>
        <w:trPr>
          <w:trHeight w:val="224"/>
        </w:trPr>
        <w:tc>
          <w:tcPr>
            <w:tcW w:w="440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4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25</w:t>
            </w:r>
          </w:p>
        </w:tc>
      </w:tr>
      <w:tr>
        <w:trPr>
          <w:trHeight w:val="26"/>
        </w:trPr>
        <w:tc>
          <w:tcPr>
            <w:tcW w:w="44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our interest rate and commodity derivative instruments, see Note 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Distributions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2026, we announced that the Board declared a quarterly cash distribution of $0.55 per common unit, or $2.20 per common unit on an annualized basis, to be paid to the Partnership’s common unitholders with respect to the first quarter of 2026. The quarterly distribution is payable on May 14, 2026 to unitholders of record as of the close of business on April 30, 2026. The total amount to be paid is $1.2 billion, which includes $12 million for distribution equivalent rights (“DERs”)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Revenues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classify our revenues into sales of products and midstream services. Product sales relate primarily to our various marketing activities whereas midstream services represent our other integrated businesses (i.e., gathering, processing, transportation, fractionation, storage and terminaling). The following table presents our revenues by business segment, and further by revenue type, for the periods indicated:</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Natural gas processing and fractionation</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Transportation</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Storage and terminals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06"/>
        </w:trPr>
        <w:tc>
          <w:tcPr>
            <w:tcW w:w="8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NGL Pipelines &amp; Services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crude oil</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Transportation</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Storage and terminals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206"/>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Crude Oil Pipelines &amp; Services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natural gas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Transportation</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206"/>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Natural Gas Pipelines &amp; Services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Segment midstream services: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Fractionation and isomerization</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Transportation, including marine logistics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Storage and terminals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segment midstream services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206"/>
        </w:trPr>
        <w:tc>
          <w:tcPr>
            <w:tcW w:w="818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Petrochemical &amp; Refined Products Services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Substantially all of our revenues are derived from contracts with customers as defined within Accounting Standards Codification (“ASC”)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Unbilled Revenue and Deferred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regarding our contract assets and contract liabilities at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Contract Asset</w:t>
            </w:r>
          </w:p>
        </w:tc>
        <w:tc>
          <w:tcPr>
            <w:tcW w:w="2940" w:type="dxa"/>
            <w:vAlign w:val="bottom"/>
          </w:tcPr>
          <w:p>
            <w:pPr>
              <w:spacing w:after="0"/>
              <w:rPr>
                <w:sz w:val="16"/>
                <w:szCs w:val="16"/>
                <w:color w:val="auto"/>
              </w:rPr>
            </w:pPr>
          </w:p>
        </w:tc>
        <w:tc>
          <w:tcPr>
            <w:tcW w:w="4220" w:type="dxa"/>
            <w:vAlign w:val="bottom"/>
            <w:gridSpan w:val="2"/>
          </w:tcPr>
          <w:p>
            <w:pPr>
              <w:jc w:val="right"/>
              <w:ind w:right="30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44"/>
        </w:trPr>
        <w:tc>
          <w:tcPr>
            <w:tcW w:w="28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1"/>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Unbilled revenue (current amount)</w:t>
            </w:r>
          </w:p>
        </w:tc>
        <w:tc>
          <w:tcPr>
            <w:tcW w:w="29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9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24"/>
        </w:trPr>
        <w:tc>
          <w:tcPr>
            <w:tcW w:w="28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940" w:type="dxa"/>
            <w:vAlign w:val="bottom"/>
            <w:tcBorders>
              <w:top w:val="single" w:sz="8" w:color="CCEEFF"/>
            </w:tcBorders>
          </w:tcPr>
          <w:p>
            <w:pPr>
              <w:spacing w:after="0"/>
              <w:rPr>
                <w:sz w:val="19"/>
                <w:szCs w:val="19"/>
                <w:color w:val="auto"/>
              </w:rPr>
            </w:pPr>
          </w:p>
        </w:tc>
        <w:tc>
          <w:tcPr>
            <w:tcW w:w="394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26"/>
        </w:trPr>
        <w:tc>
          <w:tcPr>
            <w:tcW w:w="28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07"/>
        </w:trPr>
        <w:tc>
          <w:tcPr>
            <w:tcW w:w="28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Contract Liability</w:t>
            </w:r>
          </w:p>
        </w:tc>
        <w:tc>
          <w:tcPr>
            <w:tcW w:w="2940" w:type="dxa"/>
            <w:vAlign w:val="bottom"/>
          </w:tcPr>
          <w:p>
            <w:pPr>
              <w:spacing w:after="0"/>
              <w:rPr>
                <w:sz w:val="24"/>
                <w:szCs w:val="24"/>
                <w:color w:val="auto"/>
              </w:rPr>
            </w:pPr>
          </w:p>
        </w:tc>
        <w:tc>
          <w:tcPr>
            <w:tcW w:w="4220" w:type="dxa"/>
            <w:vAlign w:val="bottom"/>
            <w:gridSpan w:val="2"/>
          </w:tcPr>
          <w:p>
            <w:pPr>
              <w:jc w:val="right"/>
              <w:ind w:right="3088"/>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44"/>
        </w:trPr>
        <w:tc>
          <w:tcPr>
            <w:tcW w:w="28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tcPr>
          <w:p>
            <w:pPr>
              <w:spacing w:after="0"/>
              <w:rPr>
                <w:sz w:val="3"/>
                <w:szCs w:val="3"/>
                <w:color w:val="auto"/>
              </w:rPr>
            </w:pPr>
          </w:p>
        </w:tc>
        <w:tc>
          <w:tcPr>
            <w:tcW w:w="422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9"/>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(current amount)</w:t>
            </w:r>
          </w:p>
        </w:tc>
        <w:tc>
          <w:tcPr>
            <w:tcW w:w="29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422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20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9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r>
      <w:tr>
        <w:trPr>
          <w:trHeight w:val="30"/>
        </w:trPr>
        <w:tc>
          <w:tcPr>
            <w:tcW w:w="28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5"/>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940" w:type="dxa"/>
            <w:vAlign w:val="bottom"/>
            <w:shd w:val="clear" w:color="auto" w:fill="CCEEFF"/>
          </w:tcPr>
          <w:p>
            <w:pPr>
              <w:spacing w:after="0"/>
              <w:rPr>
                <w:sz w:val="21"/>
                <w:szCs w:val="21"/>
                <w:color w:val="auto"/>
              </w:rPr>
            </w:pPr>
          </w:p>
        </w:tc>
        <w:tc>
          <w:tcPr>
            <w:tcW w:w="42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947"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947"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significant changes in our unbilled revenue and deferred revenue balances for the three months ended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Deferred</w:t>
            </w:r>
          </w:p>
        </w:tc>
      </w:tr>
      <w:tr>
        <w:trPr>
          <w:trHeight w:val="190"/>
        </w:trPr>
        <w:tc>
          <w:tcPr>
            <w:tcW w:w="81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0"/>
        </w:trPr>
        <w:tc>
          <w:tcPr>
            <w:tcW w:w="8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100" w:type="dxa"/>
            <w:vAlign w:val="bottom"/>
            <w:tcBorders>
              <w:bottom w:val="single" w:sz="8" w:color="CCEEFF"/>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w:t>
            </w: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 included in opening balance transferred to other accounts during period (1)</w:t>
            </w: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37"/>
        </w:trPr>
        <w:tc>
          <w:tcPr>
            <w:tcW w:w="8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 recorded during period (2)</w:t>
            </w:r>
          </w:p>
        </w:tc>
        <w:tc>
          <w:tcPr>
            <w:tcW w:w="1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recorded during period transferred to other accounts (1)</w:t>
            </w: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37"/>
        </w:trPr>
        <w:tc>
          <w:tcPr>
            <w:tcW w:w="8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changes</w:t>
            </w:r>
          </w:p>
        </w:tc>
        <w:tc>
          <w:tcPr>
            <w:tcW w:w="1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24"/>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1100" w:type="dxa"/>
            <w:vAlign w:val="bottom"/>
            <w:tcBorders>
              <w:top w:val="single" w:sz="8" w:color="auto"/>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26"/>
        </w:trPr>
        <w:tc>
          <w:tcPr>
            <w:tcW w:w="8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r>
    </w:tbl>
    <w:p>
      <w:pPr>
        <w:spacing w:after="0" w:line="72" w:lineRule="exact"/>
        <w:rPr>
          <w:sz w:val="20"/>
          <w:szCs w:val="20"/>
          <w:color w:val="auto"/>
        </w:rPr>
      </w:pPr>
    </w:p>
    <w:p>
      <w:pPr>
        <w:ind w:left="420" w:hanging="412"/>
        <w:spacing w:after="0" w:line="261" w:lineRule="auto"/>
        <w:tabs>
          <w:tab w:leader="none" w:pos="4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revenues are transferred to accounts receivable once we have an unconditional right to consideration from the customer. Deferred revenues are recognized as revenue upon satisfaction of our performance obligation to the customer.</w:t>
      </w:r>
    </w:p>
    <w:p>
      <w:pPr>
        <w:ind w:left="420" w:right="20" w:hanging="412"/>
        <w:spacing w:after="0" w:line="283" w:lineRule="auto"/>
        <w:tabs>
          <w:tab w:leader="none" w:pos="41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Unbilled revenue represents revenue that has been recognized upon satisfaction of a performance obligation, but cannot be contractually invoiced (or billed) to the customer at the balance sheet date until a future period. Deferred revenue is recorded when payment is received from a customer prior to our satisfaction of the associated performance obligation.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estimated fixed future consideration from revenue contracts that contain minimum volume commitments, deficiency and similar fees and the term of the contracts exceeds one year. These amounts represent the revenues we expect to recognize in future periods from these contracts as of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9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0"/>
        </w:trPr>
        <w:tc>
          <w:tcPr>
            <w:tcW w:w="9760" w:type="dxa"/>
            <w:vAlign w:val="bottom"/>
          </w:tcPr>
          <w:p>
            <w:pPr>
              <w:ind w:left="46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44"/>
        </w:trPr>
        <w:tc>
          <w:tcPr>
            <w:tcW w:w="97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1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Nine months ended December 31, 2026</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year ended December 31, 2027</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4,359</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year ended December 31, 2028</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3,887</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One year ended December 31, 2029</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w:t>
            </w:r>
          </w:p>
        </w:tc>
      </w:tr>
      <w:tr>
        <w:trPr>
          <w:trHeight w:val="37"/>
        </w:trPr>
        <w:tc>
          <w:tcPr>
            <w:tcW w:w="9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 year ended December 31, 2030</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r>
      <w:tr>
        <w:trPr>
          <w:trHeight w:val="193"/>
        </w:trPr>
        <w:tc>
          <w:tcPr>
            <w:tcW w:w="9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9,449</w:t>
            </w:r>
          </w:p>
        </w:tc>
      </w:tr>
      <w:tr>
        <w:trPr>
          <w:trHeight w:val="37"/>
        </w:trPr>
        <w:tc>
          <w:tcPr>
            <w:tcW w:w="97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8"/>
        </w:trPr>
        <w:tc>
          <w:tcPr>
            <w:tcW w:w="9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Business Segments and Related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Financial information regarding these segments is evaluated regularly by our co-chief operating decision makers (“CODMs”) in deciding how to allocate resources and in assessing our operating and financial performance. The co-principal executive officers of our general partner have been identified as our CODMs.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summarizes the assets and operations of each business segment:</w:t>
      </w:r>
    </w:p>
    <w:p>
      <w:pPr>
        <w:spacing w:after="0" w:line="225" w:lineRule="exact"/>
        <w:rPr>
          <w:sz w:val="20"/>
          <w:szCs w:val="20"/>
          <w:color w:val="auto"/>
        </w:rPr>
      </w:pPr>
    </w:p>
    <w:p>
      <w:pPr>
        <w:ind w:left="500" w:hanging="330"/>
        <w:spacing w:after="0" w:line="282"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NGL Pipelines &amp; Services business segment includes our natural gas processing and related NGL marketing activities, NGL pipelines, NGL fractionation facilities, NGL and related product storage facilities, and NGL marine terminals.</w:t>
      </w:r>
    </w:p>
    <w:p>
      <w:pPr>
        <w:spacing w:after="0" w:line="161"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Crude Oil Pipelines &amp; Services business segment includes our crude oil pipelines, crude oil storage and marine terminals, and related crude oil marketing activities.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ind w:left="500" w:hanging="330"/>
        <w:spacing w:after="0" w:line="282"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Natural Gas Pipelines &amp; Services business segment includes our natural gas pipeline systems that provide for the gathering, treating and transportation of natural gas. This segment also includes our natural gas marketing activities.</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Petrochemical &amp; Refined Products Services business segment includes our (i) propylene production facilities, which include propylene fractionation units and PDH facilities, and related pipelines and marketing activities, (ii) butane isomerization complex and related deisobutanizer operations, (iii) octane enhancement, iBDH and HPIB production facilities, (iv) refined products pipelines, terminals and related marketing activities, (v) ethylene export terminal and related operations; and (vi) marine transportation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plants, pipelines and other fixed assets are located in the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Gross Operating Margin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CODMs evaluate segment performance based on our financial measure of gross operating margin. Gross operating margin is an important performance measure of the core profitability of our operations, forms the basis of our internal financial reporting, and is used by our CODMs on a monthly basis to monitor budgeted versus actual results. Our CODMs also consider gross operating margin results, in part, when determining how to allocate resources (e.g., employees and capital investments) to each segment, primarily in the annual budget process. We believe that investors benefit from having access to the same financial measures that our management uses in evaluating segment results. Gross operating margin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total segment gross operating margin to income before income taxes for the periods indicated:</w:t>
      </w:r>
    </w:p>
    <w:p>
      <w:pPr>
        <w:spacing w:after="0" w:line="27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33020</wp:posOffset>
            </wp:positionV>
            <wp:extent cx="179133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4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segment gross operating margin</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r>
      <w:tr>
        <w:trPr>
          <w:trHeight w:val="19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total segment gross operating margin to income before income taxes (addition or subtraction indicated by sign):</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93"/>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gains (losses) attributable to asset sales and related matters in operating costs and expenses</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3"/>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Non-refundable payments received from shippers attributable to make-up rights (2)</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3"/>
        </w:trPr>
        <w:tc>
          <w:tcPr>
            <w:tcW w:w="84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Subsequent recognition of revenues attributable to make-up rights (3)</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41"/>
        </w:trPr>
        <w:tc>
          <w:tcPr>
            <w:tcW w:w="84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expense, net (4)</w:t>
            </w:r>
          </w:p>
        </w:tc>
        <w:tc>
          <w:tcPr>
            <w:tcW w:w="9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25"/>
        </w:trPr>
        <w:tc>
          <w:tcPr>
            <w:tcW w:w="84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25"/>
        </w:trPr>
        <w:tc>
          <w:tcPr>
            <w:tcW w:w="8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6"/>
        </w:trPr>
        <w:tc>
          <w:tcPr>
            <w:tcW w:w="8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pacing w:after="0" w:line="72" w:lineRule="exact"/>
        <w:rPr>
          <w:sz w:val="20"/>
          <w:szCs w:val="20"/>
          <w:color w:val="auto"/>
        </w:rPr>
      </w:pPr>
    </w:p>
    <w:p>
      <w:pPr>
        <w:ind w:left="420" w:hanging="412"/>
        <w:spacing w:after="0" w:line="261"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and amortization of finance lease right-of-use (“ROU”) assets, which are components of gross operating margin.</w:t>
      </w:r>
    </w:p>
    <w:p>
      <w:pPr>
        <w:spacing w:after="0" w:line="175" w:lineRule="exact"/>
        <w:rPr>
          <w:rFonts w:ascii="Times New Roman" w:cs="Times New Roman" w:eastAsia="Times New Roman" w:hAnsi="Times New Roman"/>
          <w:sz w:val="14"/>
          <w:szCs w:val="14"/>
          <w:color w:val="auto"/>
        </w:rPr>
      </w:pPr>
    </w:p>
    <w:p>
      <w:pPr>
        <w:ind w:left="420" w:right="20" w:hanging="412"/>
        <w:spacing w:after="0" w:line="261"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make-up rights entail a future performance obligation by the pipeline to the shipper, these receipts are recorded as deferred revenue for GAAP purposes; however, these receipts are included in gross operating margin in the period of receipt since they are non-refundable to the shipper.</w:t>
      </w:r>
    </w:p>
    <w:p>
      <w:pPr>
        <w:ind w:left="420" w:hanging="412"/>
        <w:spacing w:after="0" w:line="254" w:lineRule="auto"/>
        <w:tabs>
          <w:tab w:leader="none" w:pos="41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deferred revenues attributable to make-up rights are subsequently recognized as revenue under GAAP, gross operating margin must be adjusted to remove such amounts to prevent duplication since the associated non-refundable payments were previously included in gross operating margin.</w:t>
      </w:r>
    </w:p>
    <w:p>
      <w:pPr>
        <w:ind w:left="400" w:hanging="392"/>
        <w:spacing w:after="0"/>
        <w:tabs>
          <w:tab w:leader="none" w:pos="4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presented on our Unaudited Condensed Statements of Consolidated Operations, Total other expense, net is comprised of Interest expense, Interest income and Other, net.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Segment Financial Information</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present segment revenues and significant segment expenses by segment, together with a reconciliation to segment gross operating margin,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96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2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Petrochemical</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NGL</w:t>
            </w: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&amp; Refined</w:t>
            </w:r>
          </w:p>
        </w:tc>
        <w:tc>
          <w:tcPr>
            <w:tcW w:w="280" w:type="dxa"/>
            <w:vAlign w:val="bottom"/>
          </w:tcPr>
          <w:p>
            <w:pPr>
              <w:spacing w:after="0"/>
              <w:rPr>
                <w:sz w:val="15"/>
                <w:szCs w:val="15"/>
                <w:color w:val="auto"/>
              </w:rPr>
            </w:pPr>
          </w:p>
        </w:tc>
        <w:tc>
          <w:tcPr>
            <w:tcW w:w="114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2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8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7"/>
                <w:szCs w:val="17"/>
                <w:color w:val="auto"/>
              </w:rPr>
            </w:pPr>
          </w:p>
        </w:tc>
        <w:tc>
          <w:tcPr>
            <w:tcW w:w="11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2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Revenues from third parties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14,370</w:t>
            </w:r>
          </w:p>
        </w:tc>
        <w:tc>
          <w:tcPr>
            <w:tcW w:w="0" w:type="dxa"/>
            <w:vAlign w:val="bottom"/>
          </w:tcPr>
          <w:p>
            <w:pPr>
              <w:spacing w:after="0"/>
              <w:rPr>
                <w:sz w:val="1"/>
                <w:szCs w:val="1"/>
                <w:color w:val="auto"/>
              </w:rPr>
            </w:pPr>
          </w:p>
        </w:tc>
      </w:tr>
      <w:tr>
        <w:trPr>
          <w:trHeight w:val="193"/>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related parties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Intersegment and intrasegment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33,545</w:t>
            </w:r>
          </w:p>
        </w:tc>
        <w:tc>
          <w:tcPr>
            <w:tcW w:w="0" w:type="dxa"/>
            <w:vAlign w:val="bottom"/>
          </w:tcPr>
          <w:p>
            <w:pPr>
              <w:spacing w:after="0"/>
              <w:rPr>
                <w:sz w:val="1"/>
                <w:szCs w:val="1"/>
                <w:color w:val="auto"/>
              </w:rPr>
            </w:pPr>
          </w:p>
        </w:tc>
      </w:tr>
      <w:tr>
        <w:trPr>
          <w:trHeight w:val="180"/>
        </w:trPr>
        <w:tc>
          <w:tcPr>
            <w:tcW w:w="42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10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18,026</w:t>
            </w: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10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47,931</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segment expenses: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43,918</w:t>
            </w: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operating costs and expenses (1)</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206"/>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operating costs and expenses (2)</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0" w:type="dxa"/>
            <w:vAlign w:val="bottom"/>
          </w:tcPr>
          <w:p>
            <w:pPr>
              <w:spacing w:after="0"/>
              <w:rPr>
                <w:sz w:val="1"/>
                <w:szCs w:val="1"/>
                <w:color w:val="auto"/>
              </w:rPr>
            </w:pPr>
          </w:p>
        </w:tc>
      </w:tr>
      <w:tr>
        <w:trPr>
          <w:trHeight w:val="30"/>
        </w:trPr>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17,764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45,408</w:t>
            </w: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income (expense):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06"/>
        </w:trPr>
        <w:tc>
          <w:tcPr>
            <w:tcW w:w="4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items (3)</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30"/>
        </w:trPr>
        <w:tc>
          <w:tcPr>
            <w:tcW w:w="4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segment income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225"/>
        </w:trPr>
        <w:tc>
          <w:tcPr>
            <w:tcW w:w="42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gross operating margin</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0" w:type="dxa"/>
            <w:vAlign w:val="bottom"/>
          </w:tcPr>
          <w:p>
            <w:pPr>
              <w:spacing w:after="0"/>
              <w:rPr>
                <w:sz w:val="1"/>
                <w:szCs w:val="1"/>
                <w:color w:val="auto"/>
              </w:rPr>
            </w:pPr>
          </w:p>
        </w:tc>
      </w:tr>
      <w:tr>
        <w:trPr>
          <w:trHeight w:val="37"/>
        </w:trPr>
        <w:tc>
          <w:tcPr>
            <w:tcW w:w="42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operating costs and expenses represent the cost of operating our plants, pipelines and other fixed assets that generally fluctuate based on utilization.</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operating costs and expenses represent the cost of operating our plants, pipelines and other fixed assets that generally remain constant independent of utilization.</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segment primarily represent the following:</w:t>
      </w:r>
    </w:p>
    <w:p>
      <w:pPr>
        <w:spacing w:after="0" w:line="14" w:lineRule="exact"/>
        <w:rPr>
          <w:rFonts w:ascii="Times New Roman" w:cs="Times New Roman" w:eastAsia="Times New Roman" w:hAnsi="Times New Roman"/>
          <w:sz w:val="14"/>
          <w:szCs w:val="14"/>
          <w:color w:val="auto"/>
        </w:rPr>
      </w:pPr>
    </w:p>
    <w:p>
      <w:pPr>
        <w:ind w:left="740" w:hanging="327"/>
        <w:spacing w:after="0" w:line="261" w:lineRule="auto"/>
        <w:tabs>
          <w:tab w:leader="none" w:pos="736"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Pipelines &amp; Services – Non-refundable payments received from shippers attributable to make-up rights, subsequent recognition of revenues attributable to make-up rights, and other miscellaneous segment items.</w:t>
      </w:r>
    </w:p>
    <w:p>
      <w:pPr>
        <w:ind w:left="740" w:hanging="327"/>
        <w:spacing w:after="0"/>
        <w:tabs>
          <w:tab w:leader="none" w:pos="7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Pipelines &amp; Services – Other miscellaneous segment items.</w:t>
      </w:r>
    </w:p>
    <w:p>
      <w:pPr>
        <w:spacing w:after="0" w:line="4" w:lineRule="exact"/>
        <w:rPr>
          <w:rFonts w:ascii="Times New Roman" w:cs="Times New Roman" w:eastAsia="Times New Roman" w:hAnsi="Times New Roman"/>
          <w:sz w:val="14"/>
          <w:szCs w:val="14"/>
          <w:color w:val="auto"/>
        </w:rPr>
      </w:pPr>
    </w:p>
    <w:p>
      <w:pPr>
        <w:ind w:left="740" w:hanging="327"/>
        <w:spacing w:after="0"/>
        <w:tabs>
          <w:tab w:leader="none" w:pos="7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Pipelines &amp; Services – Other miscellaneous segment items.</w:t>
      </w:r>
    </w:p>
    <w:p>
      <w:pPr>
        <w:spacing w:after="0" w:line="11" w:lineRule="exact"/>
        <w:rPr>
          <w:rFonts w:ascii="Times New Roman" w:cs="Times New Roman" w:eastAsia="Times New Roman" w:hAnsi="Times New Roman"/>
          <w:sz w:val="14"/>
          <w:szCs w:val="14"/>
          <w:color w:val="auto"/>
        </w:rPr>
      </w:pPr>
    </w:p>
    <w:p>
      <w:pPr>
        <w:ind w:left="740" w:hanging="327"/>
        <w:spacing w:after="0"/>
        <w:tabs>
          <w:tab w:leader="none" w:pos="74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Petrochemical &amp; Refined Products Services – Other miscellaneous segment items.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2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6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Petrochemical</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NGL</w:t>
            </w:r>
          </w:p>
        </w:tc>
        <w:tc>
          <w:tcPr>
            <w:tcW w:w="20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8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Natural Gas</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&amp; Refined</w:t>
            </w:r>
          </w:p>
        </w:tc>
        <w:tc>
          <w:tcPr>
            <w:tcW w:w="220" w:type="dxa"/>
            <w:vAlign w:val="bottom"/>
          </w:tcPr>
          <w:p>
            <w:pPr>
              <w:spacing w:after="0"/>
              <w:rPr>
                <w:sz w:val="15"/>
                <w:szCs w:val="15"/>
                <w:color w:val="auto"/>
              </w:rPr>
            </w:pPr>
          </w:p>
        </w:tc>
        <w:tc>
          <w:tcPr>
            <w:tcW w:w="10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Pipelines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&amp; Services</w:t>
            </w:r>
          </w:p>
        </w:tc>
        <w:tc>
          <w:tcPr>
            <w:tcW w:w="2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8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Services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7"/>
                <w:szCs w:val="17"/>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0"/>
        </w:trPr>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Revenues from third parties</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5,115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15,404</w:t>
            </w:r>
          </w:p>
        </w:tc>
        <w:tc>
          <w:tcPr>
            <w:tcW w:w="0" w:type="dxa"/>
            <w:vAlign w:val="bottom"/>
          </w:tcPr>
          <w:p>
            <w:pPr>
              <w:spacing w:after="0"/>
              <w:rPr>
                <w:sz w:val="1"/>
                <w:szCs w:val="1"/>
                <w:color w:val="auto"/>
              </w:rPr>
            </w:pPr>
          </w:p>
        </w:tc>
      </w:tr>
      <w:tr>
        <w:trPr>
          <w:trHeight w:val="193"/>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Revenues from related parties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4"/>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Intersegment and intrasegment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17,017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10,622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0" w:type="dxa"/>
            <w:vAlign w:val="bottom"/>
          </w:tcPr>
          <w:p>
            <w:pPr>
              <w:spacing w:after="0"/>
              <w:rPr>
                <w:sz w:val="1"/>
                <w:szCs w:val="1"/>
                <w:color w:val="auto"/>
              </w:rPr>
            </w:pPr>
          </w:p>
        </w:tc>
      </w:tr>
      <w:tr>
        <w:trPr>
          <w:trHeight w:val="180"/>
        </w:trPr>
        <w:tc>
          <w:tcPr>
            <w:tcW w:w="466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segment revenues</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22,417</w:t>
            </w: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15,743</w:t>
            </w: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50,483</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Significant segment expenses:</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sales</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15,307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46,795</w:t>
            </w: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operating costs and expenses (1)</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operating costs and expenses (2)</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w:t>
            </w:r>
          </w:p>
        </w:tc>
        <w:tc>
          <w:tcPr>
            <w:tcW w:w="0" w:type="dxa"/>
            <w:vAlign w:val="bottom"/>
          </w:tcPr>
          <w:p>
            <w:pPr>
              <w:spacing w:after="0"/>
              <w:rPr>
                <w:sz w:val="1"/>
                <w:szCs w:val="1"/>
                <w:color w:val="auto"/>
              </w:rPr>
            </w:pPr>
          </w:p>
        </w:tc>
      </w:tr>
      <w:tr>
        <w:trPr>
          <w:trHeight w:val="30"/>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significant segment expenses</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21,055</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15,443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48,152</w:t>
            </w: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income:</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6"/>
        </w:trPr>
        <w:tc>
          <w:tcPr>
            <w:tcW w:w="4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items (3)</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30"/>
        </w:trPr>
        <w:tc>
          <w:tcPr>
            <w:tcW w:w="4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other segment income</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segment gross operating margin</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financial information:</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37"/>
        </w:trPr>
        <w:tc>
          <w:tcPr>
            <w:tcW w:w="46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1" w:lineRule="exact"/>
        <w:rPr>
          <w:sz w:val="20"/>
          <w:szCs w:val="20"/>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operating costs and expenses represent the cost of operating our plants, pipelines and other fixed assets that generally fluctuate based on utilization.</w:t>
      </w:r>
    </w:p>
    <w:p>
      <w:pPr>
        <w:spacing w:after="0" w:line="1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operating costs and expenses represent the cost of operating our plants, pipelines and other fixed assets that generally remain constant independent of utilization.</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segment primarily represent the following:</w:t>
      </w:r>
    </w:p>
    <w:p>
      <w:pPr>
        <w:spacing w:after="0" w:line="14" w:lineRule="exact"/>
        <w:rPr>
          <w:rFonts w:ascii="Times New Roman" w:cs="Times New Roman" w:eastAsia="Times New Roman" w:hAnsi="Times New Roman"/>
          <w:sz w:val="14"/>
          <w:szCs w:val="14"/>
          <w:color w:val="auto"/>
        </w:rPr>
      </w:pPr>
    </w:p>
    <w:p>
      <w:pPr>
        <w:ind w:left="740" w:hanging="327"/>
        <w:spacing w:after="0" w:line="261" w:lineRule="auto"/>
        <w:tabs>
          <w:tab w:leader="none" w:pos="736"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Pipelines &amp; Services – Non-refundable payments received from shippers attributable to make-up rights, subsequent recognition of revenues attributable to make-up rights, and other miscellaneous segment items.</w:t>
      </w:r>
    </w:p>
    <w:p>
      <w:pPr>
        <w:ind w:left="740" w:hanging="327"/>
        <w:spacing w:after="0"/>
        <w:tabs>
          <w:tab w:leader="none" w:pos="7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Crude Oil Pipelines &amp; Services – Other miscellaneous segment items.</w:t>
      </w:r>
    </w:p>
    <w:p>
      <w:pPr>
        <w:spacing w:after="0" w:line="4" w:lineRule="exact"/>
        <w:rPr>
          <w:rFonts w:ascii="Times New Roman" w:cs="Times New Roman" w:eastAsia="Times New Roman" w:hAnsi="Times New Roman"/>
          <w:sz w:val="14"/>
          <w:szCs w:val="14"/>
          <w:color w:val="auto"/>
        </w:rPr>
      </w:pPr>
    </w:p>
    <w:p>
      <w:pPr>
        <w:ind w:left="740" w:hanging="327"/>
        <w:spacing w:after="0"/>
        <w:tabs>
          <w:tab w:leader="none" w:pos="74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Petrochemical &amp; Refined Products Services – Other miscellaneous segment items.</w:t>
      </w:r>
    </w:p>
    <w:p>
      <w:pPr>
        <w:spacing w:after="0" w:line="2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and intrasegment transactions, which are generally based on transactions made at market-based rates. Our consolidated revenues reflect the elimination of intercompany transactions. The following table reconciles total segment revenues as reported in the preceding tables to consolidated revenues as presented on our Unaudited Condensed Statements of Consolidated Operations:</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 revenues:</w:t>
            </w: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920" w:type="dxa"/>
            <w:vAlign w:val="bottom"/>
            <w:tcBorders>
              <w:bottom w:val="single" w:sz="8" w:color="CCEEFF"/>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22,417</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15,743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10,870</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segment revenues</w:t>
            </w:r>
          </w:p>
        </w:tc>
        <w:tc>
          <w:tcPr>
            <w:tcW w:w="9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47,931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50,483</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Elimination of intersegment and intrasegment revenues</w:t>
            </w:r>
          </w:p>
        </w:tc>
        <w:tc>
          <w:tcPr>
            <w:tcW w:w="9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(35,066)</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92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Segment expenses represent operating costs and expenses exclusive of (i) depreciation, amortization and accretion expenses (excluding amortization of major maintenance costs for reaction-based plants and amortization of finance lease right-of-use assets), (ii) impairment charges, and (iii) gains and losses attributable to asset sales and related matters. Segment expense presented in the tables above include intersegment and intrasegment transactions, which are generally based on transactions made at market-based rates. Additionally, the significant segment expense categories presented align with the manner in which our CODMs evaluate segment results. Our consolidated operating costs and expenses are inclusive of the aforementioned adjustments and reflect the elimination of intercompany transactions.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segment assets, together with a reconciliation to our consolidated total assets,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11,097</w:t>
            </w: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13,194</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11,725</w:t>
            </w:r>
          </w:p>
        </w:tc>
      </w:tr>
      <w:tr>
        <w:trPr>
          <w:trHeight w:val="31"/>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Total segment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61,080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61,015</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2,400</w:t>
            </w:r>
          </w:p>
        </w:tc>
      </w:tr>
      <w:tr>
        <w:trPr>
          <w:trHeight w:val="37"/>
        </w:trPr>
        <w:tc>
          <w:tcPr>
            <w:tcW w:w="8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13,360</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w:t>
            </w:r>
          </w:p>
        </w:tc>
      </w:tr>
      <w:tr>
        <w:trPr>
          <w:trHeight w:val="31"/>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b w:val="1"/>
                <w:bCs w:val="1"/>
                <w:color w:val="auto"/>
              </w:rPr>
              <w:t>Consolidated total assets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77,902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Revenue and Expense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our consolidated revenues and costs and expenses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revenues: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costs and expenses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Cost of sales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12,005</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operating costs and expenses (1)</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costs and expenses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20" w:hanging="412"/>
        <w:spacing w:after="0" w:line="302" w:lineRule="auto"/>
        <w:tabs>
          <w:tab w:leader="none" w:pos="41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cost of operating our plants, pipelines and other fixed assets excluding depreciation, amortization and accretion charges; asset impairment charges; and net losses (gains) attributable to asset sales and related matters.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product sales revenues and cost of sales amounts are explained in large part by changes in energy commodity prices. In general, higher energy commodity prices result in an increase in our revenues attributable to product sales; however, these higher commodity prices would also be expected to increase the associated cost of sales as purchase costs are higher. The same type of relationship would be true in the case of lower energy commodity sales prices and purchase costs.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Earnings Per Unit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calculation of basic and diluted earnings per common unit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BASIC EARNINGS PER COMMON UNIT</w:t>
            </w: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Earnings allocated to phantom unit awards (1)</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allocated to common unitholders</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weighted-average number of common units outstanding</w:t>
            </w:r>
          </w:p>
        </w:tc>
        <w:tc>
          <w:tcPr>
            <w:tcW w:w="9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Basic earnings per common unit</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EARNINGS PER COMMON UNIT</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980" w:type="dxa"/>
            <w:vAlign w:val="bottom"/>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income attributable to limited partners</w:t>
            </w: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 weighted-average number of units outstanding:</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Distribution-bearing common units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w:t>
            </w:r>
          </w:p>
        </w:tc>
        <w:tc>
          <w:tcPr>
            <w:tcW w:w="0" w:type="dxa"/>
            <w:vAlign w:val="bottom"/>
          </w:tcPr>
          <w:p>
            <w:pPr>
              <w:spacing w:after="0"/>
              <w:rPr>
                <w:sz w:val="1"/>
                <w:szCs w:val="1"/>
                <w:color w:val="auto"/>
              </w:rPr>
            </w:pPr>
          </w:p>
        </w:tc>
      </w:tr>
      <w:tr>
        <w:trPr>
          <w:trHeight w:val="193"/>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Phantom units (2)</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Preferred units (2)</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Diluted earnings per common unit</w:t>
            </w:r>
          </w:p>
        </w:tc>
        <w:tc>
          <w:tcPr>
            <w:tcW w:w="9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0.64</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hanging="392"/>
        <w:spacing w:after="0"/>
        <w:tabs>
          <w:tab w:leader="none" w:pos="40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Phantom units are considered participating securities for purposes of computing basic earnings per unit. See Note 12 for information regarding our phantom units.</w:t>
      </w:r>
    </w:p>
    <w:p>
      <w:pPr>
        <w:spacing w:after="0" w:line="17" w:lineRule="exact"/>
        <w:rPr>
          <w:rFonts w:ascii="Times New Roman" w:cs="Times New Roman" w:eastAsia="Times New Roman" w:hAnsi="Times New Roman"/>
          <w:sz w:val="14"/>
          <w:szCs w:val="14"/>
          <w:color w:val="auto"/>
        </w:rPr>
      </w:pPr>
    </w:p>
    <w:p>
      <w:pPr>
        <w:ind w:left="420" w:hanging="412"/>
        <w:spacing w:after="0" w:line="278" w:lineRule="auto"/>
        <w:tabs>
          <w:tab w:leader="none" w:pos="4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the “if-converted method” to determine the potential dilutive effect of the vesting of phantom unit awards and the conversion of preferred units outstanding. See Note 12 for information regarding phantom unit awards. See Note 8 for information regarding preferred units.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Equity-Based Awards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allocated portion of the fair value of EPCO’s equity-based awards is charged to us under the ASA. The following table summarizes compensation expense we recognized in connection with equity-based awards for the periods indicated: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Equity-classified awards: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Phantom unit awards</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18"/>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6"/>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equity-classified awards is amortized to earnings over the requisite service or vesting period. Equity-classified awards are expected to result in the issuance of the Partnership’s common units upon vesting.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Phantom Unit Awards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customary forfeiture provisions, phantom unit awards allow recipients to acquire the Partnership’s common units once a defined vesting period expires (at no cost to the recipient apart from fulfilling required service and other conditions). The following table presents phantom unit award activity for the period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48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62"/>
        </w:trPr>
        <w:tc>
          <w:tcPr>
            <w:tcW w:w="81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48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per Unit (1)</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Phantom unit awards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20,581,966</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(4)</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8,060,595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(7,122,419)</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27.19</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(101,386)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Phantom unit awards at 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21,418,756</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hanging="392"/>
        <w:spacing w:after="0"/>
        <w:tabs>
          <w:tab w:leader="none" w:pos="40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by dividing the aggregate grant date fair value of awards (before an allowance for forfeitures) by the number of awards issued.</w:t>
      </w:r>
    </w:p>
    <w:p>
      <w:pPr>
        <w:spacing w:after="0" w:line="17" w:lineRule="exact"/>
        <w:rPr>
          <w:rFonts w:ascii="Times New Roman" w:cs="Times New Roman" w:eastAsia="Times New Roman" w:hAnsi="Times New Roman"/>
          <w:sz w:val="14"/>
          <w:szCs w:val="14"/>
          <w:color w:val="auto"/>
        </w:rPr>
      </w:pPr>
    </w:p>
    <w:p>
      <w:pPr>
        <w:ind w:left="420" w:hanging="412"/>
        <w:spacing w:after="0" w:line="278" w:lineRule="auto"/>
        <w:tabs>
          <w:tab w:leader="none" w:pos="41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grant date fair value of phantom unit awards issued during 2026 was $284 million based on a grant date market price of the Partnership’s common units ranging from $32.16 to $35.19 per unit. An estimated annual forfeiture rate of 2.0% was applied to these awards.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phantom unit award includes a DER, which entitles the participant to nonforfeitable cash payments equal to the product of the number of phantom unit awards outstanding for the participant and the cash distribution per common unit paid by the Partnership to its common unitholders. Cash payments made in connection with DERs are charged to partners’ equity when the phantom unit award is expected to result in the issuance of common units; otherwise, such amounts are expensed.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information regarding phantom unit awards for the periods indicated:</w:t>
      </w:r>
    </w:p>
    <w:p>
      <w:pPr>
        <w:spacing w:after="0" w:line="27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33020</wp:posOffset>
            </wp:positionV>
            <wp:extent cx="179133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4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made in connection with DERs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93"/>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intrinsic value of phantom unit awards that vested during period</w:t>
            </w:r>
          </w:p>
        </w:tc>
        <w:tc>
          <w:tcPr>
            <w:tcW w:w="9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r>
    </w:tbl>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EPCO group of companies, the unrecognized compensation cost associated with phantom unit awards was $437 million at March 31, 2026, of which our share of such cost is currently estimated to be $360 million. Due to the graded vesting provisions of these awards, we expect to recognize our share of the unrecognized compensation cost for these awards over a weighted-average period of 2.4 years.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Hedging Activities and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options and other instruments with similar characteristics. Substantially all of our derivatives are used for non-trading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interest rate derivative instruments outstanding at March 31,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prices of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2026,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w:t>
      </w:r>
    </w:p>
    <w:p>
      <w:pPr>
        <w:spacing w:after="0" w:line="176" w:lineRule="exact"/>
        <w:rPr>
          <w:sz w:val="20"/>
          <w:szCs w:val="20"/>
          <w:color w:val="auto"/>
        </w:rPr>
      </w:pPr>
    </w:p>
    <w:p>
      <w:pPr>
        <w:ind w:left="500" w:right="2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anticipated future commodity purchases and sales hedging program is to hedge the margins of certain transportation, storage, blending and operational activities by locking in purchase and sale prices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61"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natural gas processing hedging program is to hedge an amount of earnings associated with these activities. We achieve this objective by executing fixed-price sales for a portion of our expected equity production using derivative instruments and related contracts. For certain natural gas processing contracts, the hedging of expected equity NGL production also involves the purchase of natural gas for plant thermal reduction, which is hedged using derivative instruments and related contracts.</w:t>
      </w:r>
    </w:p>
    <w:p>
      <w:pPr>
        <w:spacing w:after="0" w:line="179"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inventory hedging program is to hedge the fair value of commodity products currently held in inventory by locking in the sales price of the inventory through the use of derivative instruments and related contracts.</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objective of our commercial energy hedging program is to hedge anticipated future purchases of power for certain operations in Southeast Texas by locking in purchase prices through the use of derivative instruments and related contracts.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portfolio of commodity derivative instruments outstanding at March 31, 2026 (volume measures as noted):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Volume (1)</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780"/>
              <w:spacing w:after="0"/>
              <w:rPr>
                <w:sz w:val="20"/>
                <w:szCs w:val="20"/>
                <w:color w:val="auto"/>
              </w:rPr>
            </w:pPr>
            <w:r>
              <w:rPr>
                <w:rFonts w:ascii="Times New Roman" w:cs="Times New Roman" w:eastAsia="Times New Roman" w:hAnsi="Times New Roman"/>
                <w:sz w:val="14"/>
                <w:szCs w:val="14"/>
                <w:b w:val="1"/>
                <w:bCs w:val="1"/>
                <w:color w:val="auto"/>
              </w:rPr>
              <w:t>Derivative Purpose</w:t>
            </w: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 xml:space="preserve">Current </w:t>
            </w:r>
            <w:r>
              <w:rPr>
                <w:rFonts w:ascii="Times New Roman" w:cs="Times New Roman" w:eastAsia="Times New Roman" w:hAnsi="Times New Roman"/>
                <w:sz w:val="14"/>
                <w:szCs w:val="14"/>
                <w:color w:val="auto"/>
              </w:rPr>
              <w:t>(2)</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 xml:space="preserve">Long-Term </w:t>
            </w:r>
            <w:r>
              <w:rPr>
                <w:rFonts w:ascii="Times New Roman" w:cs="Times New Roman" w:eastAsia="Times New Roman" w:hAnsi="Times New Roman"/>
                <w:sz w:val="14"/>
                <w:szCs w:val="14"/>
                <w:color w:val="auto"/>
              </w:rPr>
              <w:t>(2)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Treatment</w:t>
            </w:r>
          </w:p>
        </w:tc>
        <w:tc>
          <w:tcPr>
            <w:tcW w:w="0" w:type="dxa"/>
            <w:vAlign w:val="bottom"/>
          </w:tcPr>
          <w:p>
            <w:pPr>
              <w:spacing w:after="0"/>
              <w:rPr>
                <w:sz w:val="1"/>
                <w:szCs w:val="1"/>
                <w:color w:val="auto"/>
              </w:rPr>
            </w:pPr>
          </w:p>
        </w:tc>
      </w:tr>
      <w:tr>
        <w:trPr>
          <w:trHeight w:val="44"/>
        </w:trPr>
        <w:tc>
          <w:tcPr>
            <w:tcW w:w="20" w:type="dxa"/>
            <w:vAlign w:val="bottom"/>
            <w:tcBorders>
              <w:bottom w:val="single" w:sz="8" w:color="auto"/>
            </w:tcBorders>
          </w:tcPr>
          <w:p>
            <w:pPr>
              <w:spacing w:after="0"/>
              <w:rPr>
                <w:sz w:val="3"/>
                <w:szCs w:val="3"/>
                <w:color w:val="auto"/>
              </w:rPr>
            </w:pPr>
          </w:p>
        </w:tc>
        <w:tc>
          <w:tcPr>
            <w:tcW w:w="2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86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Natural gas processing:</w:t>
            </w:r>
          </w:p>
        </w:tc>
        <w:tc>
          <w:tcPr>
            <w:tcW w:w="1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natural gas purchases for plant thermal reduction (Bcf)</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20.3</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Forecasted sales of natural gas (Bcf)</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38.2</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13.5</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sales of NGLs (MMBbls)</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9.0</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Octane enhancement:</w:t>
            </w: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sales of octane enhancement products (MMBbls)</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5.0</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Natural gas marketing:</w:t>
            </w: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Natural gas storage inventory management activities (Bcf)</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0.6</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Fair value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NGL marketing:</w:t>
            </w: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purchases of NGLs and related hydrocarbon products (MMBbls)</w:t>
            </w:r>
          </w:p>
        </w:tc>
        <w:tc>
          <w:tcPr>
            <w:tcW w:w="112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218.1</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27.2</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Forecasted sales of NGLs and related hydrocarbon products (MMBbls)</w:t>
            </w: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216.7</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26.1</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Refined products marketing:</w:t>
            </w:r>
          </w:p>
        </w:tc>
        <w:tc>
          <w:tcPr>
            <w:tcW w:w="1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Forecasted purchases of refined products (MMBbls)</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2.9</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sales of refined products (MMBbls)</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5.0</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Crude oil marketing:</w:t>
            </w:r>
          </w:p>
        </w:tc>
        <w:tc>
          <w:tcPr>
            <w:tcW w:w="1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Forecasted purchases of crude oil (MMBbls)</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23.3</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7.2</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Forecasted sales of crude oil (MMBbls)</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30.7</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14.2</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Commercial energy:</w:t>
            </w:r>
          </w:p>
        </w:tc>
        <w:tc>
          <w:tcPr>
            <w:tcW w:w="1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Forecasted purchases of power related to asset operations (terawatt hours (“TWh”))</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0.7</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0.3</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Cash flow hedge</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Natural gas risk management activities (Bcf) (3)</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46.5</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NGL risk management activities (MMBbls) (3)</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58.0</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16.7</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Refined products risk management activities (MMBbls) (3)</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4.5</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67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Crude oil risk management activities (MMBbls) (3)</w:t>
            </w:r>
          </w:p>
        </w:tc>
        <w:tc>
          <w:tcPr>
            <w:tcW w:w="1120" w:type="dxa"/>
            <w:vAlign w:val="bottom"/>
            <w:tcBorders>
              <w:bottom w:val="single" w:sz="8" w:color="CCEEFF"/>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rPr>
              <w:t>30.2</w:t>
            </w:r>
          </w:p>
        </w:tc>
        <w:tc>
          <w:tcPr>
            <w:tcW w:w="186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Commercial energy risk management activities (TWh) (3)</w:t>
            </w:r>
          </w:p>
        </w:tc>
        <w:tc>
          <w:tcPr>
            <w:tcW w:w="112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0.2</w:t>
            </w:r>
          </w:p>
        </w:tc>
        <w:tc>
          <w:tcPr>
            <w:tcW w:w="186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n/a</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Mark-to-market</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auto"/>
            </w:tcBorders>
            <w:shd w:val="clear" w:color="auto" w:fill="CCEEFF"/>
          </w:tcPr>
          <w:p>
            <w:pPr>
              <w:spacing w:after="0"/>
              <w:rPr>
                <w:sz w:val="18"/>
                <w:szCs w:val="18"/>
                <w:color w:val="auto"/>
              </w:rPr>
            </w:pPr>
          </w:p>
        </w:tc>
        <w:tc>
          <w:tcPr>
            <w:tcW w:w="29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3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hanging="412"/>
        <w:spacing w:after="0" w:line="261"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 for derivatives designated as hedging instruments reflects the total amount of volumes hedged whereas volume for derivatives not designated as hedging instruments reflects the absolute value of derivative notional volumes.</w:t>
      </w:r>
    </w:p>
    <w:p>
      <w:pPr>
        <w:ind w:left="420" w:hanging="412"/>
        <w:spacing w:after="0" w:line="261" w:lineRule="auto"/>
        <w:tabs>
          <w:tab w:leader="none" w:pos="412"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term for derivatives designated as cash flow hedges, derivatives designated as fair value hedges and derivatives not designated as hedging instruments is March 2029, December 2026 and December 2027, respectively.</w:t>
      </w:r>
    </w:p>
    <w:p>
      <w:pPr>
        <w:ind w:left="400" w:hanging="392"/>
        <w:spacing w:after="0"/>
        <w:tabs>
          <w:tab w:leader="none" w:pos="40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use of derivative instruments to manage risks associated with our transportation, processing and storage assets.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of our inventories subject to fair value hedges was $2 million and $6 million at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Tabular Presentation of Fair Value Amounts, and Gains and Losses on</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Related Hedged Items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balance sheet overview of our derivative assets and liabilities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206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6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6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6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40" w:type="dxa"/>
            <w:vAlign w:val="bottom"/>
          </w:tcPr>
          <w:p>
            <w:pPr>
              <w:spacing w:after="0"/>
              <w:rPr>
                <w:sz w:val="15"/>
                <w:szCs w:val="15"/>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80" w:type="dxa"/>
            <w:vAlign w:val="bottom"/>
          </w:tcPr>
          <w:p>
            <w:pPr>
              <w:spacing w:after="0"/>
              <w:rPr>
                <w:sz w:val="15"/>
                <w:szCs w:val="15"/>
                <w:color w:val="auto"/>
              </w:rPr>
            </w:pPr>
          </w:p>
        </w:tc>
        <w:tc>
          <w:tcPr>
            <w:tcW w:w="6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Sheet</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7"/>
                <w:szCs w:val="17"/>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7"/>
                <w:szCs w:val="17"/>
                <w:color w:val="auto"/>
              </w:rPr>
            </w:pPr>
          </w:p>
        </w:tc>
        <w:tc>
          <w:tcPr>
            <w:tcW w:w="6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Pr>
          <w:p>
            <w:pPr>
              <w:spacing w:after="0"/>
              <w:rPr>
                <w:sz w:val="17"/>
                <w:szCs w:val="17"/>
                <w:color w:val="auto"/>
              </w:rPr>
            </w:pPr>
          </w:p>
        </w:tc>
        <w:tc>
          <w:tcPr>
            <w:tcW w:w="6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8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4"/>
            <w:vMerge w:val="continue"/>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842</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0"/>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3020" w:type="dxa"/>
            <w:vAlign w:val="bottom"/>
            <w:tcBorders>
              <w:top w:val="single" w:sz="8" w:color="CCEEFF"/>
            </w:tcBorders>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derivatives designated as hedging</w:t>
            </w:r>
          </w:p>
        </w:tc>
        <w:tc>
          <w:tcPr>
            <w:tcW w:w="1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1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829</w:t>
            </w:r>
          </w:p>
        </w:tc>
        <w:tc>
          <w:tcPr>
            <w:tcW w:w="1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w:t>
            </w:r>
          </w:p>
        </w:tc>
        <w:tc>
          <w:tcPr>
            <w:tcW w:w="700" w:type="dxa"/>
            <w:vAlign w:val="bottom"/>
            <w:gridSpan w:val="2"/>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Current</w:t>
            </w: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Commodity derivatives</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51"/>
        </w:trPr>
        <w:tc>
          <w:tcPr>
            <w:tcW w:w="20" w:type="dxa"/>
            <w:vAlign w:val="bottom"/>
            <w:tcBorders>
              <w:top w:val="single" w:sz="8" w:color="CCEEFF"/>
            </w:tcBorders>
          </w:tcPr>
          <w:p>
            <w:pPr>
              <w:spacing w:after="0"/>
              <w:rPr>
                <w:sz w:val="13"/>
                <w:szCs w:val="13"/>
                <w:color w:val="auto"/>
              </w:rPr>
            </w:pPr>
          </w:p>
        </w:tc>
        <w:tc>
          <w:tcPr>
            <w:tcW w:w="3020" w:type="dxa"/>
            <w:vAlign w:val="bottom"/>
            <w:tcBorders>
              <w:top w:val="single" w:sz="8" w:color="CCEEFF"/>
            </w:tcBorders>
            <w:gridSpan w:val="4"/>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derivatives not designated as hedging</w:t>
            </w:r>
          </w:p>
        </w:tc>
        <w:tc>
          <w:tcPr>
            <w:tcW w:w="1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4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4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6"/>
                <w:szCs w:val="16"/>
                <w:color w:val="auto"/>
              </w:rPr>
            </w:pPr>
          </w:p>
        </w:tc>
        <w:tc>
          <w:tcPr>
            <w:tcW w:w="30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commodity derivative instruments are subject to master netting arrangements or similar agreements. The following tables present our derivative instruments subject to such arrangements at the dates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6"/>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Offsetting of Financial Assets and Derivative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4"/>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20"/>
                <w:szCs w:val="20"/>
                <w:color w:val="auto"/>
              </w:rPr>
            </w:pPr>
          </w:p>
        </w:tc>
        <w:tc>
          <w:tcPr>
            <w:tcW w:w="2520" w:type="dxa"/>
            <w:vAlign w:val="bottom"/>
            <w:gridSpan w:val="4"/>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center"/>
              <w:ind w:right="240"/>
              <w:spacing w:after="0" w:line="140"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9"/>
                <w:szCs w:val="9"/>
                <w:color w:val="auto"/>
              </w:rPr>
            </w:pPr>
          </w:p>
        </w:tc>
        <w:tc>
          <w:tcPr>
            <w:tcW w:w="112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9"/>
                <w:szCs w:val="9"/>
                <w:color w:val="auto"/>
              </w:rPr>
            </w:pPr>
          </w:p>
        </w:tc>
        <w:tc>
          <w:tcPr>
            <w:tcW w:w="1120" w:type="dxa"/>
            <w:vAlign w:val="bottom"/>
            <w:gridSpan w:val="2"/>
            <w:vMerge w:val="restart"/>
          </w:tcPr>
          <w:p>
            <w:pPr>
              <w:jc w:val="center"/>
              <w:ind w:right="220"/>
              <w:spacing w:after="0" w:line="140" w:lineRule="exact"/>
              <w:rPr>
                <w:sz w:val="20"/>
                <w:szCs w:val="20"/>
                <w:color w:val="auto"/>
              </w:rPr>
            </w:pPr>
            <w:r>
              <w:rPr>
                <w:rFonts w:ascii="Times New Roman" w:cs="Times New Roman" w:eastAsia="Times New Roman" w:hAnsi="Times New Roman"/>
                <w:sz w:val="14"/>
                <w:szCs w:val="14"/>
                <w:b w:val="1"/>
                <w:bCs w:val="1"/>
                <w:color w:val="auto"/>
              </w:rPr>
              <w:t>of Assets</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center"/>
              <w:ind w:right="28"/>
              <w:spacing w:after="0" w:line="140" w:lineRule="exact"/>
              <w:rPr>
                <w:sz w:val="20"/>
                <w:szCs w:val="20"/>
                <w:color w:val="auto"/>
              </w:rPr>
            </w:pPr>
            <w:r>
              <w:rPr>
                <w:rFonts w:ascii="Times New Roman" w:cs="Times New Roman" w:eastAsia="Times New Roman" w:hAnsi="Times New Roman"/>
                <w:sz w:val="14"/>
                <w:szCs w:val="14"/>
                <w:b w:val="1"/>
                <w:bCs w:val="1"/>
                <w:color w:val="auto"/>
              </w:rPr>
              <w:t>Amounts That</w:t>
            </w:r>
          </w:p>
        </w:tc>
        <w:tc>
          <w:tcPr>
            <w:tcW w:w="0" w:type="dxa"/>
            <w:vAlign w:val="bottom"/>
          </w:tcPr>
          <w:p>
            <w:pPr>
              <w:spacing w:after="0"/>
              <w:rPr>
                <w:sz w:val="1"/>
                <w:szCs w:val="1"/>
                <w:color w:val="auto"/>
              </w:rPr>
            </w:pPr>
          </w:p>
        </w:tc>
      </w:tr>
      <w:tr>
        <w:trPr>
          <w:trHeight w:val="58"/>
        </w:trPr>
        <w:tc>
          <w:tcPr>
            <w:tcW w:w="2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 of</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Presented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Would Have</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4"/>
                <w:szCs w:val="14"/>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40" w:type="dxa"/>
            <w:vAlign w:val="bottom"/>
          </w:tcPr>
          <w:p>
            <w:pPr>
              <w:spacing w:after="0"/>
              <w:rPr>
                <w:sz w:val="14"/>
                <w:szCs w:val="14"/>
                <w:color w:val="auto"/>
              </w:rPr>
            </w:pPr>
          </w:p>
        </w:tc>
        <w:tc>
          <w:tcPr>
            <w:tcW w:w="10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0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Been Presented</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7"/>
                <w:szCs w:val="17"/>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00" w:type="dxa"/>
            <w:vAlign w:val="bottom"/>
          </w:tcPr>
          <w:p>
            <w:pPr>
              <w:spacing w:after="0"/>
              <w:rPr>
                <w:sz w:val="17"/>
                <w:szCs w:val="17"/>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0" w:type="dxa"/>
            <w:vAlign w:val="bottom"/>
          </w:tcPr>
          <w:p>
            <w:pPr>
              <w:spacing w:after="0"/>
              <w:rPr>
                <w:sz w:val="1"/>
                <w:szCs w:val="1"/>
                <w:color w:val="auto"/>
              </w:rPr>
            </w:pPr>
          </w:p>
        </w:tc>
      </w:tr>
      <w:tr>
        <w:trPr>
          <w:trHeight w:val="44"/>
        </w:trPr>
        <w:tc>
          <w:tcPr>
            <w:tcW w:w="27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0"/>
              </w:rPr>
              <w:t>(i)</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(iii) = (i) – (ii)</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8"/>
              </w:rPr>
              <w:t>(iv)</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(v) = (iii) + (iv)</w:t>
            </w:r>
          </w:p>
        </w:tc>
        <w:tc>
          <w:tcPr>
            <w:tcW w:w="0" w:type="dxa"/>
            <w:vAlign w:val="bottom"/>
          </w:tcPr>
          <w:p>
            <w:pPr>
              <w:spacing w:after="0"/>
              <w:rPr>
                <w:sz w:val="1"/>
                <w:szCs w:val="1"/>
                <w:color w:val="auto"/>
              </w:rPr>
            </w:pPr>
          </w:p>
        </w:tc>
      </w:tr>
      <w:tr>
        <w:trPr>
          <w:trHeight w:val="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740" w:type="dxa"/>
            <w:vAlign w:val="bottom"/>
            <w:tcBorders>
              <w:bottom w:val="single" w:sz="8" w:color="CCEEFF"/>
            </w:tcBorders>
            <w:shd w:val="clear" w:color="auto" w:fill="CCEEFF"/>
          </w:tcPr>
          <w:p>
            <w:pPr>
              <w:jc w:val="center"/>
              <w:ind w:right="1048"/>
              <w:spacing w:after="0"/>
              <w:rPr>
                <w:sz w:val="20"/>
                <w:szCs w:val="20"/>
                <w:color w:val="auto"/>
              </w:rPr>
            </w:pPr>
            <w:r>
              <w:rPr>
                <w:rFonts w:ascii="Times New Roman" w:cs="Times New Roman" w:eastAsia="Times New Roman" w:hAnsi="Times New Roman"/>
                <w:sz w:val="14"/>
                <w:szCs w:val="14"/>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274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shd w:val="clear" w:color="auto" w:fill="CCEEFF"/>
          </w:tcPr>
          <w:p>
            <w:pPr>
              <w:jc w:val="center"/>
              <w:ind w:right="1048"/>
              <w:spacing w:after="0"/>
              <w:rPr>
                <w:sz w:val="20"/>
                <w:szCs w:val="20"/>
                <w:color w:val="auto"/>
              </w:rPr>
            </w:pPr>
            <w:r>
              <w:rPr>
                <w:rFonts w:ascii="Times New Roman" w:cs="Times New Roman" w:eastAsia="Times New Roman" w:hAnsi="Times New Roman"/>
                <w:sz w:val="14"/>
                <w:szCs w:val="14"/>
                <w:color w:val="auto"/>
              </w:rPr>
              <w:t>Commodity 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7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Offsetting of Financial Liabilities and Derivative Liabilities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7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4"/>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0" w:type="dxa"/>
            <w:vAlign w:val="bottom"/>
          </w:tcPr>
          <w:p>
            <w:pPr>
              <w:spacing w:after="0"/>
              <w:rPr>
                <w:sz w:val="21"/>
                <w:szCs w:val="21"/>
                <w:color w:val="auto"/>
              </w:rPr>
            </w:pPr>
          </w:p>
        </w:tc>
        <w:tc>
          <w:tcPr>
            <w:tcW w:w="2520" w:type="dxa"/>
            <w:vAlign w:val="bottom"/>
            <w:gridSpan w:val="4"/>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Gross Amounts Not Offset</w:t>
            </w: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 the Balance Sheet</w:t>
            </w: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9"/>
                <w:szCs w:val="9"/>
                <w:color w:val="auto"/>
              </w:rPr>
            </w:pPr>
          </w:p>
        </w:tc>
        <w:tc>
          <w:tcPr>
            <w:tcW w:w="102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of Liabilities</w:t>
            </w: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vMerge w:val="restart"/>
          </w:tcPr>
          <w:p>
            <w:pPr>
              <w:jc w:val="center"/>
              <w:ind w:right="28"/>
              <w:spacing w:after="0" w:line="127" w:lineRule="exact"/>
              <w:rPr>
                <w:sz w:val="20"/>
                <w:szCs w:val="20"/>
                <w:color w:val="auto"/>
              </w:rPr>
            </w:pPr>
            <w:r>
              <w:rPr>
                <w:rFonts w:ascii="Times New Roman" w:cs="Times New Roman" w:eastAsia="Times New Roman" w:hAnsi="Times New Roman"/>
                <w:sz w:val="14"/>
                <w:szCs w:val="14"/>
                <w:b w:val="1"/>
                <w:bCs w:val="1"/>
                <w:color w:val="auto"/>
              </w:rPr>
              <w:t>Amounts That</w:t>
            </w:r>
          </w:p>
        </w:tc>
        <w:tc>
          <w:tcPr>
            <w:tcW w:w="0" w:type="dxa"/>
            <w:vAlign w:val="bottom"/>
          </w:tcPr>
          <w:p>
            <w:pPr>
              <w:spacing w:after="0"/>
              <w:rPr>
                <w:sz w:val="1"/>
                <w:szCs w:val="1"/>
                <w:color w:val="auto"/>
              </w:rPr>
            </w:pPr>
          </w:p>
        </w:tc>
      </w:tr>
      <w:tr>
        <w:trPr>
          <w:trHeight w:val="44"/>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 of</w:t>
            </w:r>
          </w:p>
        </w:tc>
        <w:tc>
          <w:tcPr>
            <w:tcW w:w="12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Presented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Cash</w:t>
            </w:r>
          </w:p>
        </w:tc>
        <w:tc>
          <w:tcPr>
            <w:tcW w:w="200" w:type="dxa"/>
            <w:vAlign w:val="bottom"/>
          </w:tcPr>
          <w:p>
            <w:pPr>
              <w:spacing w:after="0"/>
              <w:rPr>
                <w:sz w:val="14"/>
                <w:szCs w:val="14"/>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Would Have</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120" w:type="dxa"/>
            <w:vAlign w:val="bottom"/>
          </w:tcPr>
          <w:p>
            <w:pPr>
              <w:spacing w:after="0"/>
              <w:rPr>
                <w:sz w:val="15"/>
                <w:szCs w:val="15"/>
                <w:color w:val="auto"/>
              </w:rPr>
            </w:pPr>
          </w:p>
        </w:tc>
        <w:tc>
          <w:tcPr>
            <w:tcW w:w="102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Offset in the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the</w:t>
            </w:r>
          </w:p>
        </w:tc>
        <w:tc>
          <w:tcPr>
            <w:tcW w:w="140" w:type="dxa"/>
            <w:vAlign w:val="bottom"/>
          </w:tcPr>
          <w:p>
            <w:pPr>
              <w:spacing w:after="0"/>
              <w:rPr>
                <w:sz w:val="15"/>
                <w:szCs w:val="15"/>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40" w:type="dxa"/>
            <w:vAlign w:val="bottom"/>
          </w:tcPr>
          <w:p>
            <w:pPr>
              <w:spacing w:after="0"/>
              <w:rPr>
                <w:sz w:val="15"/>
                <w:szCs w:val="15"/>
                <w:color w:val="auto"/>
              </w:rPr>
            </w:pPr>
          </w:p>
        </w:tc>
        <w:tc>
          <w:tcPr>
            <w:tcW w:w="10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2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Been Presented</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40" w:type="dxa"/>
            <w:vAlign w:val="bottom"/>
          </w:tcPr>
          <w:p>
            <w:pPr>
              <w:spacing w:after="0"/>
              <w:rPr>
                <w:sz w:val="17"/>
                <w:szCs w:val="17"/>
                <w:color w:val="auto"/>
              </w:rPr>
            </w:pPr>
          </w:p>
        </w:tc>
        <w:tc>
          <w:tcPr>
            <w:tcW w:w="10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40" w:type="dxa"/>
            <w:vAlign w:val="bottom"/>
          </w:tcPr>
          <w:p>
            <w:pPr>
              <w:spacing w:after="0"/>
              <w:rPr>
                <w:sz w:val="17"/>
                <w:szCs w:val="17"/>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Received</w:t>
            </w:r>
          </w:p>
        </w:tc>
        <w:tc>
          <w:tcPr>
            <w:tcW w:w="200" w:type="dxa"/>
            <w:vAlign w:val="bottom"/>
          </w:tcPr>
          <w:p>
            <w:pPr>
              <w:spacing w:after="0"/>
              <w:rPr>
                <w:sz w:val="17"/>
                <w:szCs w:val="17"/>
                <w:color w:val="auto"/>
              </w:rPr>
            </w:pPr>
          </w:p>
        </w:tc>
        <w:tc>
          <w:tcPr>
            <w:tcW w:w="9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Paid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On Net Basis</w:t>
            </w:r>
          </w:p>
        </w:tc>
        <w:tc>
          <w:tcPr>
            <w:tcW w:w="0" w:type="dxa"/>
            <w:vAlign w:val="bottom"/>
          </w:tcPr>
          <w:p>
            <w:pPr>
              <w:spacing w:after="0"/>
              <w:rPr>
                <w:sz w:val="1"/>
                <w:szCs w:val="1"/>
                <w:color w:val="auto"/>
              </w:rPr>
            </w:pPr>
          </w:p>
        </w:tc>
      </w:tr>
      <w:tr>
        <w:trPr>
          <w:trHeight w:val="30"/>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0"/>
              </w:rPr>
              <w:t>(i)</w:t>
            </w:r>
          </w:p>
        </w:tc>
        <w:tc>
          <w:tcPr>
            <w:tcW w:w="120" w:type="dxa"/>
            <w:vAlign w:val="bottom"/>
          </w:tcPr>
          <w:p>
            <w:pPr>
              <w:spacing w:after="0"/>
              <w:rPr>
                <w:sz w:val="17"/>
                <w:szCs w:val="17"/>
                <w:color w:val="auto"/>
              </w:rPr>
            </w:pPr>
          </w:p>
        </w:tc>
        <w:tc>
          <w:tcPr>
            <w:tcW w:w="102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(ii)</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(iii) = (i) – (ii)</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w w:val="98"/>
              </w:rPr>
              <w:t>(iv)</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(v) = (iii) + (iv)</w:t>
            </w:r>
          </w:p>
        </w:tc>
        <w:tc>
          <w:tcPr>
            <w:tcW w:w="0" w:type="dxa"/>
            <w:vAlign w:val="bottom"/>
          </w:tcPr>
          <w:p>
            <w:pPr>
              <w:spacing w:after="0"/>
              <w:rPr>
                <w:sz w:val="1"/>
                <w:szCs w:val="1"/>
                <w:color w:val="auto"/>
              </w:rPr>
            </w:pPr>
          </w:p>
        </w:tc>
      </w:tr>
      <w:tr>
        <w:trPr>
          <w:trHeight w:val="3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7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tcBorders>
              <w:bottom w:val="single" w:sz="8" w:color="CCEEFF"/>
            </w:tcBorders>
            <w:shd w:val="clear" w:color="auto" w:fill="CCEEFF"/>
          </w:tcPr>
          <w:p>
            <w:pPr>
              <w:jc w:val="center"/>
              <w:ind w:right="1048"/>
              <w:spacing w:after="0"/>
              <w:rPr>
                <w:sz w:val="20"/>
                <w:szCs w:val="20"/>
                <w:color w:val="auto"/>
              </w:rPr>
            </w:pPr>
            <w:r>
              <w:rPr>
                <w:rFonts w:ascii="Times New Roman" w:cs="Times New Roman" w:eastAsia="Times New Roman" w:hAnsi="Times New Roman"/>
                <w:sz w:val="14"/>
                <w:szCs w:val="14"/>
                <w:color w:val="auto"/>
              </w:rPr>
              <w:t>Commodity derivatives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274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2740" w:type="dxa"/>
            <w:vAlign w:val="bottom"/>
            <w:shd w:val="clear" w:color="auto" w:fill="CCEEFF"/>
          </w:tcPr>
          <w:p>
            <w:pPr>
              <w:jc w:val="center"/>
              <w:ind w:right="1048"/>
              <w:spacing w:after="0"/>
              <w:rPr>
                <w:sz w:val="20"/>
                <w:szCs w:val="20"/>
                <w:color w:val="auto"/>
              </w:rPr>
            </w:pPr>
            <w:r>
              <w:rPr>
                <w:rFonts w:ascii="Times New Roman" w:cs="Times New Roman" w:eastAsia="Times New Roman" w:hAnsi="Times New Roman"/>
                <w:sz w:val="14"/>
                <w:szCs w:val="14"/>
                <w:color w:val="auto"/>
              </w:rPr>
              <w:t>Commodity derivatives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7"/>
        </w:trPr>
        <w:tc>
          <w:tcPr>
            <w:tcW w:w="2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Derivative assets and liabilities recorded on our Unaudited Condensed Consolidated Balance Sheets are presented on a gross-basis and determined at the individual transaction level. The tabular presentation above provides a means for comparing the gross amount of derivative assets and liabilities, excluding associated accounts payable and receivable, to the net amount that would likely be receivable or payable under a default scenario based on the existence of rights of offset in the respective derivative agreements. Any cash collateral paid or received is reflected in these tables, but only to the extent that it represents variation margins. Any amounts associated with derivative prepayments or initial margins that are not influenced by the derivative asset or liability amounts or those that are determined solely on their volumetric notional amounts are excluded from these tables.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fair value hedges on our Unaudited Condensed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Operations for the periods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4720" w:type="dxa"/>
            <w:vAlign w:val="bottom"/>
          </w:tcPr>
          <w:p>
            <w:pPr>
              <w:spacing w:after="0"/>
              <w:rPr>
                <w:sz w:val="14"/>
                <w:szCs w:val="14"/>
                <w:color w:val="auto"/>
              </w:rPr>
            </w:pPr>
          </w:p>
        </w:tc>
        <w:tc>
          <w:tcPr>
            <w:tcW w:w="27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360" w:type="dxa"/>
            <w:vAlign w:val="bottom"/>
          </w:tcPr>
          <w:p>
            <w:pPr>
              <w:spacing w:after="0"/>
              <w:rPr>
                <w:sz w:val="14"/>
                <w:szCs w:val="14"/>
                <w:color w:val="auto"/>
              </w:rPr>
            </w:pPr>
          </w:p>
        </w:tc>
      </w:tr>
      <w:tr>
        <w:trPr>
          <w:trHeight w:val="204"/>
        </w:trPr>
        <w:tc>
          <w:tcPr>
            <w:tcW w:w="34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70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Income on Derivative</w:t>
            </w:r>
          </w:p>
        </w:tc>
        <w:tc>
          <w:tcPr>
            <w:tcW w:w="360" w:type="dxa"/>
            <w:vAlign w:val="bottom"/>
          </w:tcPr>
          <w:p>
            <w:pPr>
              <w:spacing w:after="0"/>
              <w:rPr>
                <w:sz w:val="17"/>
                <w:szCs w:val="17"/>
                <w:color w:val="auto"/>
              </w:rPr>
            </w:pPr>
          </w:p>
        </w:tc>
      </w:tr>
      <w:tr>
        <w:trPr>
          <w:trHeight w:val="44"/>
        </w:trPr>
        <w:tc>
          <w:tcPr>
            <w:tcW w:w="346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4"/>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64"/>
        </w:trPr>
        <w:tc>
          <w:tcPr>
            <w:tcW w:w="34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70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60" w:type="dxa"/>
            <w:vAlign w:val="bottom"/>
          </w:tcPr>
          <w:p>
            <w:pPr>
              <w:spacing w:after="0"/>
              <w:rPr>
                <w:sz w:val="14"/>
                <w:szCs w:val="14"/>
                <w:color w:val="auto"/>
              </w:rPr>
            </w:pPr>
          </w:p>
        </w:tc>
      </w:tr>
      <w:tr>
        <w:trPr>
          <w:trHeight w:val="190"/>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60" w:type="dxa"/>
            <w:vAlign w:val="bottom"/>
          </w:tcPr>
          <w:p>
            <w:pPr>
              <w:spacing w:after="0"/>
              <w:rPr>
                <w:sz w:val="16"/>
                <w:szCs w:val="16"/>
                <w:color w:val="auto"/>
              </w:rPr>
            </w:pPr>
          </w:p>
        </w:tc>
      </w:tr>
      <w:tr>
        <w:trPr>
          <w:trHeight w:val="57"/>
        </w:trPr>
        <w:tc>
          <w:tcPr>
            <w:tcW w:w="3460" w:type="dxa"/>
            <w:vAlign w:val="bottom"/>
          </w:tcPr>
          <w:p>
            <w:pPr>
              <w:spacing w:after="0"/>
              <w:rPr>
                <w:sz w:val="5"/>
                <w:szCs w:val="5"/>
                <w:color w:val="auto"/>
              </w:rPr>
            </w:pPr>
          </w:p>
        </w:tc>
        <w:tc>
          <w:tcPr>
            <w:tcW w:w="472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r>
      <w:tr>
        <w:trPr>
          <w:trHeight w:val="193"/>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44"/>
        </w:trPr>
        <w:tc>
          <w:tcPr>
            <w:tcW w:w="3460" w:type="dxa"/>
            <w:vAlign w:val="bottom"/>
            <w:tcBorders>
              <w:bottom w:val="single" w:sz="8" w:color="CCEEFF"/>
            </w:tcBorders>
          </w:tcPr>
          <w:p>
            <w:pPr>
              <w:spacing w:after="0"/>
              <w:rPr>
                <w:sz w:val="3"/>
                <w:szCs w:val="3"/>
                <w:color w:val="auto"/>
              </w:rPr>
            </w:pPr>
          </w:p>
        </w:tc>
        <w:tc>
          <w:tcPr>
            <w:tcW w:w="47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42"/>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25"/>
        </w:trPr>
        <w:tc>
          <w:tcPr>
            <w:tcW w:w="34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720" w:type="dxa"/>
            <w:vAlign w:val="bottom"/>
            <w:tcBorders>
              <w:top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5"/>
        </w:trPr>
        <w:tc>
          <w:tcPr>
            <w:tcW w:w="3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495"/>
        </w:trPr>
        <w:tc>
          <w:tcPr>
            <w:tcW w:w="34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Derivatives in Fair Value</w:t>
            </w:r>
          </w:p>
        </w:tc>
        <w:tc>
          <w:tcPr>
            <w:tcW w:w="4720" w:type="dxa"/>
            <w:vAlign w:val="bottom"/>
          </w:tcPr>
          <w:p>
            <w:pPr>
              <w:spacing w:after="0"/>
              <w:rPr>
                <w:sz w:val="24"/>
                <w:szCs w:val="24"/>
                <w:color w:val="auto"/>
              </w:rPr>
            </w:pPr>
          </w:p>
        </w:tc>
        <w:tc>
          <w:tcPr>
            <w:tcW w:w="27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c>
          <w:tcPr>
            <w:tcW w:w="360" w:type="dxa"/>
            <w:vAlign w:val="bottom"/>
          </w:tcPr>
          <w:p>
            <w:pPr>
              <w:spacing w:after="0"/>
              <w:rPr>
                <w:sz w:val="24"/>
                <w:szCs w:val="24"/>
                <w:color w:val="auto"/>
              </w:rPr>
            </w:pPr>
          </w:p>
        </w:tc>
      </w:tr>
      <w:tr>
        <w:trPr>
          <w:trHeight w:val="190"/>
        </w:trPr>
        <w:tc>
          <w:tcPr>
            <w:tcW w:w="34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700" w:type="dxa"/>
            <w:vAlign w:val="bottom"/>
            <w:gridSpan w:val="4"/>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Income on Hedged Item</w:t>
            </w:r>
          </w:p>
        </w:tc>
        <w:tc>
          <w:tcPr>
            <w:tcW w:w="360" w:type="dxa"/>
            <w:vAlign w:val="bottom"/>
          </w:tcPr>
          <w:p>
            <w:pPr>
              <w:spacing w:after="0"/>
              <w:rPr>
                <w:sz w:val="16"/>
                <w:szCs w:val="16"/>
                <w:color w:val="auto"/>
              </w:rPr>
            </w:pPr>
          </w:p>
        </w:tc>
      </w:tr>
      <w:tr>
        <w:trPr>
          <w:trHeight w:val="44"/>
        </w:trPr>
        <w:tc>
          <w:tcPr>
            <w:tcW w:w="3460" w:type="dxa"/>
            <w:vAlign w:val="bottom"/>
            <w:tcBorders>
              <w:bottom w:val="single" w:sz="8" w:color="auto"/>
            </w:tcBorders>
          </w:tcPr>
          <w:p>
            <w:pPr>
              <w:spacing w:after="0"/>
              <w:rPr>
                <w:sz w:val="3"/>
                <w:szCs w:val="3"/>
                <w:color w:val="auto"/>
              </w:rPr>
            </w:pPr>
          </w:p>
        </w:tc>
        <w:tc>
          <w:tcPr>
            <w:tcW w:w="472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4"/>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78"/>
        </w:trPr>
        <w:tc>
          <w:tcPr>
            <w:tcW w:w="3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700" w:type="dxa"/>
            <w:vAlign w:val="bottom"/>
            <w:gridSpan w:val="4"/>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360" w:type="dxa"/>
            <w:vAlign w:val="bottom"/>
          </w:tcPr>
          <w:p>
            <w:pPr>
              <w:spacing w:after="0"/>
              <w:rPr>
                <w:sz w:val="15"/>
                <w:szCs w:val="15"/>
                <w:color w:val="auto"/>
              </w:rPr>
            </w:pPr>
          </w:p>
        </w:tc>
      </w:tr>
      <w:tr>
        <w:trPr>
          <w:trHeight w:val="190"/>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60" w:type="dxa"/>
            <w:vAlign w:val="bottom"/>
            <w:gridSpan w:val="3"/>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360" w:type="dxa"/>
            <w:vAlign w:val="bottom"/>
          </w:tcPr>
          <w:p>
            <w:pPr>
              <w:spacing w:after="0"/>
              <w:rPr>
                <w:sz w:val="16"/>
                <w:szCs w:val="16"/>
                <w:color w:val="auto"/>
              </w:rPr>
            </w:pPr>
          </w:p>
        </w:tc>
      </w:tr>
      <w:tr>
        <w:trPr>
          <w:trHeight w:val="44"/>
        </w:trPr>
        <w:tc>
          <w:tcPr>
            <w:tcW w:w="3460" w:type="dxa"/>
            <w:vAlign w:val="bottom"/>
          </w:tcPr>
          <w:p>
            <w:pPr>
              <w:spacing w:after="0"/>
              <w:rPr>
                <w:sz w:val="3"/>
                <w:szCs w:val="3"/>
                <w:color w:val="auto"/>
              </w:rPr>
            </w:pPr>
          </w:p>
        </w:tc>
        <w:tc>
          <w:tcPr>
            <w:tcW w:w="47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193"/>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r>
      <w:tr>
        <w:trPr>
          <w:trHeight w:val="44"/>
        </w:trPr>
        <w:tc>
          <w:tcPr>
            <w:tcW w:w="3460" w:type="dxa"/>
            <w:vAlign w:val="bottom"/>
            <w:tcBorders>
              <w:bottom w:val="single" w:sz="8" w:color="CCEEFF"/>
            </w:tcBorders>
          </w:tcPr>
          <w:p>
            <w:pPr>
              <w:spacing w:after="0"/>
              <w:rPr>
                <w:sz w:val="3"/>
                <w:szCs w:val="3"/>
                <w:color w:val="auto"/>
              </w:rPr>
            </w:pPr>
          </w:p>
        </w:tc>
        <w:tc>
          <w:tcPr>
            <w:tcW w:w="47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r>
      <w:tr>
        <w:trPr>
          <w:trHeight w:val="242"/>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Revenue</w:t>
            </w:r>
          </w:p>
        </w:tc>
        <w:tc>
          <w:tcPr>
            <w:tcW w:w="940" w:type="dxa"/>
            <w:vAlign w:val="bottom"/>
            <w:tcBorders>
              <w:bottom w:val="single" w:sz="8" w:color="CCEEFF"/>
            </w:tcBorders>
            <w:shd w:val="clear" w:color="auto" w:fill="CCEEFF"/>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34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720" w:type="dxa"/>
            <w:vAlign w:val="bottom"/>
            <w:tcBorders>
              <w:top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78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3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gain (loss) corresponding to the hedge ineffectiveness on the fair value hedges was negligible for all periods presented. The remaining gain (loss) for each period presented is primarily attributable to prompt-to-forward month price differentials that were excluded from the assessment of hedge effectiveness.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our derivative instruments designated as cash flow hedges on our Unaudited Condensed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Operations and Unaudited Condensed Statements of Consolidated Comprehensive Income for the periods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200" w:type="dxa"/>
            <w:vAlign w:val="bottom"/>
          </w:tcPr>
          <w:p>
            <w:pPr>
              <w:spacing w:after="0"/>
              <w:rPr>
                <w:sz w:val="15"/>
                <w:szCs w:val="15"/>
                <w:color w:val="auto"/>
              </w:rPr>
            </w:pPr>
          </w:p>
        </w:tc>
        <w:tc>
          <w:tcPr>
            <w:tcW w:w="286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Change in Value Recognized in</w:t>
            </w:r>
          </w:p>
        </w:tc>
        <w:tc>
          <w:tcPr>
            <w:tcW w:w="0" w:type="dxa"/>
            <w:vAlign w:val="bottom"/>
          </w:tcPr>
          <w:p>
            <w:pPr>
              <w:spacing w:after="0"/>
              <w:rPr>
                <w:sz w:val="1"/>
                <w:szCs w:val="1"/>
                <w:color w:val="auto"/>
              </w:rPr>
            </w:pPr>
          </w:p>
        </w:tc>
      </w:tr>
      <w:tr>
        <w:trPr>
          <w:trHeight w:val="162"/>
        </w:trPr>
        <w:tc>
          <w:tcPr>
            <w:tcW w:w="81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4"/>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Other Comprehensive Income (Loss) on</w:t>
            </w:r>
          </w:p>
        </w:tc>
        <w:tc>
          <w:tcPr>
            <w:tcW w:w="0" w:type="dxa"/>
            <w:vAlign w:val="bottom"/>
          </w:tcPr>
          <w:p>
            <w:pPr>
              <w:spacing w:after="0"/>
              <w:rPr>
                <w:sz w:val="1"/>
                <w:szCs w:val="1"/>
                <w:color w:val="auto"/>
              </w:rPr>
            </w:pPr>
          </w:p>
        </w:tc>
      </w:tr>
      <w:tr>
        <w:trPr>
          <w:trHeight w:val="204"/>
        </w:trPr>
        <w:tc>
          <w:tcPr>
            <w:tcW w:w="8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200" w:type="dxa"/>
            <w:vAlign w:val="bottom"/>
          </w:tcPr>
          <w:p>
            <w:pPr>
              <w:spacing w:after="0"/>
              <w:rPr>
                <w:sz w:val="17"/>
                <w:szCs w:val="17"/>
                <w:color w:val="auto"/>
              </w:rPr>
            </w:pPr>
          </w:p>
        </w:tc>
        <w:tc>
          <w:tcPr>
            <w:tcW w:w="1920" w:type="dxa"/>
            <w:vAlign w:val="bottom"/>
            <w:gridSpan w:val="3"/>
          </w:tcPr>
          <w:p>
            <w:pPr>
              <w:jc w:val="center"/>
              <w:ind w:left="64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
        </w:trPr>
        <w:tc>
          <w:tcPr>
            <w:tcW w:w="8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3"/>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 – Revenue (1)</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 – Operating costs and expenses (1)</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hanging="412"/>
        <w:spacing w:after="0" w:line="282" w:lineRule="auto"/>
        <w:tabs>
          <w:tab w:leader="none" w:pos="41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these derivative instruments will be reclassified to their respective locations on the Unaudited Condensed Statement of Consolidated Operations when the forecasted transactions affect earnings.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vMerge w:val="restart"/>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Derivatives in Cash Flow</w:t>
            </w: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0" w:type="dxa"/>
            <w:vAlign w:val="bottom"/>
          </w:tcPr>
          <w:p>
            <w:pPr>
              <w:spacing w:after="0"/>
              <w:rPr>
                <w:sz w:val="1"/>
                <w:szCs w:val="1"/>
                <w:color w:val="auto"/>
              </w:rPr>
            </w:pPr>
          </w:p>
        </w:tc>
      </w:tr>
      <w:tr>
        <w:trPr>
          <w:trHeight w:val="162"/>
        </w:trPr>
        <w:tc>
          <w:tcPr>
            <w:tcW w:w="3460" w:type="dxa"/>
            <w:vAlign w:val="bottom"/>
            <w:vMerge w:val="continue"/>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 Other Comprehensive</w:t>
            </w:r>
          </w:p>
        </w:tc>
        <w:tc>
          <w:tcPr>
            <w:tcW w:w="0" w:type="dxa"/>
            <w:vAlign w:val="bottom"/>
          </w:tcPr>
          <w:p>
            <w:pPr>
              <w:spacing w:after="0"/>
              <w:rPr>
                <w:sz w:val="1"/>
                <w:szCs w:val="1"/>
                <w:color w:val="auto"/>
              </w:rPr>
            </w:pPr>
          </w:p>
        </w:tc>
      </w:tr>
      <w:tr>
        <w:trPr>
          <w:trHeight w:val="204"/>
        </w:trPr>
        <w:tc>
          <w:tcPr>
            <w:tcW w:w="346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Hedging Relationships</w:t>
            </w:r>
          </w:p>
        </w:tc>
        <w:tc>
          <w:tcPr>
            <w:tcW w:w="4720" w:type="dxa"/>
            <w:vAlign w:val="bottom"/>
          </w:tcPr>
          <w:p>
            <w:pPr>
              <w:ind w:left="240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60" w:type="dxa"/>
            <w:vAlign w:val="bottom"/>
          </w:tcPr>
          <w:p>
            <w:pPr>
              <w:spacing w:after="0"/>
              <w:rPr>
                <w:sz w:val="17"/>
                <w:szCs w:val="17"/>
                <w:color w:val="auto"/>
              </w:rPr>
            </w:pPr>
          </w:p>
        </w:tc>
        <w:tc>
          <w:tcPr>
            <w:tcW w:w="280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Income (Loss) to Income</w:t>
            </w:r>
          </w:p>
        </w:tc>
        <w:tc>
          <w:tcPr>
            <w:tcW w:w="0" w:type="dxa"/>
            <w:vAlign w:val="bottom"/>
          </w:tcPr>
          <w:p>
            <w:pPr>
              <w:spacing w:after="0"/>
              <w:rPr>
                <w:sz w:val="1"/>
                <w:szCs w:val="1"/>
                <w:color w:val="auto"/>
              </w:rPr>
            </w:pPr>
          </w:p>
        </w:tc>
      </w:tr>
      <w:tr>
        <w:trPr>
          <w:trHeight w:val="30"/>
        </w:trPr>
        <w:tc>
          <w:tcPr>
            <w:tcW w:w="346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3460" w:type="dxa"/>
            <w:vAlign w:val="bottom"/>
          </w:tcPr>
          <w:p>
            <w:pPr>
              <w:spacing w:after="0"/>
              <w:rPr>
                <w:sz w:val="3"/>
                <w:szCs w:val="3"/>
                <w:color w:val="auto"/>
              </w:rPr>
            </w:pPr>
          </w:p>
        </w:tc>
        <w:tc>
          <w:tcPr>
            <w:tcW w:w="47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3460" w:type="dxa"/>
            <w:vAlign w:val="bottom"/>
            <w:tcBorders>
              <w:bottom w:val="single" w:sz="8" w:color="CCEEFF"/>
            </w:tcBorders>
          </w:tcPr>
          <w:p>
            <w:pPr>
              <w:spacing w:after="0"/>
              <w:rPr>
                <w:sz w:val="3"/>
                <w:szCs w:val="3"/>
                <w:color w:val="auto"/>
              </w:rPr>
            </w:pPr>
          </w:p>
        </w:tc>
        <w:tc>
          <w:tcPr>
            <w:tcW w:w="47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derivatives</w:t>
            </w:r>
          </w:p>
        </w:tc>
        <w:tc>
          <w:tcPr>
            <w:tcW w:w="4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7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Revenue</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4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7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24"/>
        </w:trPr>
        <w:tc>
          <w:tcPr>
            <w:tcW w:w="346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72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top w:val="single" w:sz="8" w:color="CCEEFF"/>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6"/>
        </w:trPr>
        <w:tc>
          <w:tcPr>
            <w:tcW w:w="3460" w:type="dxa"/>
            <w:vAlign w:val="bottom"/>
          </w:tcPr>
          <w:p>
            <w:pPr>
              <w:spacing w:after="0"/>
              <w:rPr>
                <w:sz w:val="2"/>
                <w:szCs w:val="2"/>
                <w:color w:val="auto"/>
              </w:rPr>
            </w:pPr>
          </w:p>
        </w:tc>
        <w:tc>
          <w:tcPr>
            <w:tcW w:w="47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next twelve months, we expect to reclassify $7 million of gains attributable to interest rate derivative instruments from accumulated other comprehensive income to earnings as a decrease in interest expense. Likewise, we expect to reclassify $161 million of losses attributable to commodity derivative instruments from accumulated other comprehensive loss to earnings, with $147 million as a decrease in revenue and $14 million as an increase in operating costs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derivative instruments not designated as hedging instruments on our Unaudited Condensed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Operations for the periods indicated: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5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Derivatives Not Designated</w:t>
            </w: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Gain (Loss) Recognized in</w:t>
            </w:r>
          </w:p>
        </w:tc>
      </w:tr>
      <w:tr>
        <w:trPr>
          <w:trHeight w:val="190"/>
        </w:trPr>
        <w:tc>
          <w:tcPr>
            <w:tcW w:w="3500" w:type="dxa"/>
            <w:vAlign w:val="bottom"/>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as Hedging Instruments</w:t>
            </w:r>
          </w:p>
        </w:tc>
        <w:tc>
          <w:tcPr>
            <w:tcW w:w="4680" w:type="dxa"/>
            <w:vAlign w:val="bottom"/>
          </w:tcPr>
          <w:p>
            <w:pPr>
              <w:ind w:left="23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340" w:type="dxa"/>
            <w:vAlign w:val="bottom"/>
          </w:tcPr>
          <w:p>
            <w:pPr>
              <w:spacing w:after="0"/>
              <w:rPr>
                <w:sz w:val="16"/>
                <w:szCs w:val="16"/>
                <w:color w:val="auto"/>
              </w:rPr>
            </w:pPr>
          </w:p>
        </w:tc>
        <w:tc>
          <w:tcPr>
            <w:tcW w:w="2720" w:type="dxa"/>
            <w:vAlign w:val="bottom"/>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Income on Derivative</w:t>
            </w:r>
          </w:p>
        </w:tc>
      </w:tr>
      <w:tr>
        <w:trPr>
          <w:trHeight w:val="44"/>
        </w:trPr>
        <w:tc>
          <w:tcPr>
            <w:tcW w:w="3500" w:type="dxa"/>
            <w:vAlign w:val="bottom"/>
            <w:tcBorders>
              <w:bottom w:val="single" w:sz="8" w:color="auto"/>
            </w:tcBorders>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4"/>
          </w:tcPr>
          <w:p>
            <w:pPr>
              <w:spacing w:after="0"/>
              <w:rPr>
                <w:sz w:val="3"/>
                <w:szCs w:val="3"/>
                <w:color w:val="auto"/>
              </w:rPr>
            </w:pPr>
          </w:p>
        </w:tc>
      </w:tr>
      <w:tr>
        <w:trPr>
          <w:trHeight w:val="178"/>
        </w:trPr>
        <w:tc>
          <w:tcPr>
            <w:tcW w:w="35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90"/>
        </w:trPr>
        <w:tc>
          <w:tcPr>
            <w:tcW w:w="35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940" w:type="dxa"/>
            <w:vAlign w:val="bottom"/>
          </w:tcPr>
          <w:p>
            <w:pPr>
              <w:spacing w:after="0"/>
              <w:rPr>
                <w:sz w:val="16"/>
                <w:szCs w:val="16"/>
                <w:color w:val="auto"/>
              </w:rPr>
            </w:pPr>
          </w:p>
        </w:tc>
      </w:tr>
      <w:tr>
        <w:trPr>
          <w:trHeight w:val="44"/>
        </w:trPr>
        <w:tc>
          <w:tcPr>
            <w:tcW w:w="3500" w:type="dxa"/>
            <w:vAlign w:val="bottom"/>
          </w:tcPr>
          <w:p>
            <w:pPr>
              <w:spacing w:after="0"/>
              <w:rPr>
                <w:sz w:val="3"/>
                <w:szCs w:val="3"/>
                <w:color w:val="auto"/>
              </w:rPr>
            </w:pPr>
          </w:p>
        </w:tc>
        <w:tc>
          <w:tcPr>
            <w:tcW w:w="4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3"/>
        </w:trPr>
        <w:tc>
          <w:tcPr>
            <w:tcW w:w="35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3500" w:type="dxa"/>
            <w:vAlign w:val="bottom"/>
            <w:tcBorders>
              <w:bottom w:val="single" w:sz="8" w:color="CCEEFF"/>
            </w:tcBorders>
          </w:tcPr>
          <w:p>
            <w:pPr>
              <w:spacing w:after="0"/>
              <w:rPr>
                <w:sz w:val="3"/>
                <w:szCs w:val="3"/>
                <w:color w:val="auto"/>
              </w:rPr>
            </w:pPr>
          </w:p>
        </w:tc>
        <w:tc>
          <w:tcPr>
            <w:tcW w:w="46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9"/>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68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Revenue</w:t>
            </w: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206"/>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468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0"/>
        </w:trPr>
        <w:tc>
          <w:tcPr>
            <w:tcW w:w="35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4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$102 million net loss recognized for the three months ended March 31, 2026 (as noted in the preceding table) from derivatives not designated as hedging instruments consists of $5 million of net realized losses and $97 million of net unrealized mark-to-market losses attributable to commodity derivatives.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set forth, by level within the Level 1, 2 and 3 fair value hierarchy, the carrying values of our financial assets and liabilities at the dates indicated. These assets and liabilities are measured on a recurring basis and are classified based on the lowest level of input used to estimate their fair value. Our assessment of the relative significance of such inputs requires judgment.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values for commodity derivatives are presented before and after the application of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6"/>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0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Liabilities</w:t>
            </w:r>
          </w:p>
        </w:tc>
        <w:tc>
          <w:tcPr>
            <w:tcW w:w="14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06"/>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Impact of CME Rule 814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0" w:type="dxa"/>
            <w:vAlign w:val="bottom"/>
          </w:tcPr>
          <w:p>
            <w:pPr>
              <w:spacing w:after="0"/>
              <w:rPr>
                <w:sz w:val="1"/>
                <w:szCs w:val="1"/>
                <w:color w:val="auto"/>
              </w:rPr>
            </w:pPr>
          </w:p>
        </w:tc>
      </w:tr>
      <w:tr>
        <w:trPr>
          <w:trHeight w:val="30"/>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24"/>
        </w:trPr>
        <w:tc>
          <w:tcPr>
            <w:tcW w:w="50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1,386</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Impact of CME Rule 814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w:t>
            </w:r>
          </w:p>
        </w:tc>
        <w:tc>
          <w:tcPr>
            <w:tcW w:w="0" w:type="dxa"/>
            <w:vAlign w:val="bottom"/>
          </w:tcPr>
          <w:p>
            <w:pPr>
              <w:spacing w:after="0"/>
              <w:rPr>
                <w:sz w:val="1"/>
                <w:szCs w:val="1"/>
                <w:color w:val="auto"/>
              </w:rPr>
            </w:pPr>
          </w:p>
        </w:tc>
      </w:tr>
      <w:tr>
        <w:trPr>
          <w:trHeight w:val="206"/>
        </w:trPr>
        <w:tc>
          <w:tcPr>
            <w:tcW w:w="50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30"/>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5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6"/>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04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5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w:t>
            </w: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Active</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Liabilities</w:t>
            </w:r>
          </w:p>
        </w:tc>
        <w:tc>
          <w:tcPr>
            <w:tcW w:w="14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4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44"/>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5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206"/>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Impact of CME Rule 814</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w:t>
            </w:r>
          </w:p>
        </w:tc>
        <w:tc>
          <w:tcPr>
            <w:tcW w:w="0" w:type="dxa"/>
            <w:vAlign w:val="bottom"/>
          </w:tcPr>
          <w:p>
            <w:pPr>
              <w:spacing w:after="0"/>
              <w:rPr>
                <w:sz w:val="1"/>
                <w:szCs w:val="1"/>
                <w:color w:val="auto"/>
              </w:rPr>
            </w:pPr>
          </w:p>
        </w:tc>
      </w:tr>
      <w:tr>
        <w:trPr>
          <w:trHeight w:val="30"/>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25"/>
        </w:trPr>
        <w:tc>
          <w:tcPr>
            <w:tcW w:w="50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Commodity derivatives: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0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Value before application of CME Rule 814</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8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1"/>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Impact of CME Rule 814</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0" w:type="dxa"/>
            <w:vAlign w:val="bottom"/>
          </w:tcPr>
          <w:p>
            <w:pPr>
              <w:spacing w:after="0"/>
              <w:rPr>
                <w:sz w:val="1"/>
                <w:szCs w:val="1"/>
                <w:color w:val="auto"/>
              </w:rPr>
            </w:pPr>
          </w:p>
        </w:tc>
      </w:tr>
      <w:tr>
        <w:trPr>
          <w:trHeight w:val="206"/>
        </w:trPr>
        <w:tc>
          <w:tcPr>
            <w:tcW w:w="50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commodity derivatives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30"/>
        </w:trPr>
        <w:tc>
          <w:tcPr>
            <w:tcW w:w="5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aggregate, the fair value of our commodity hedging portfolios at March 31, 2026 was a net derivative liability of $177 million prior to the impact of CME Rule 814.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recorded on the balance sheet at March 31, 2026 using significant unobservable inputs (Level 3) are not material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carrying amounts of cash and cash equivalents (including restricted cash balances), accounts receivable, commercial paper notes and accounts payable approximate their fair values based on their short-term nature. The estimated total fair value of our fixed-rate debt obligations was $30.2 billion and $32.2 billion at March 31, 2026 and December 31, 2025, respectively. The aggregate carrying value of these debt obligations was $32.5 billion and $34.1 billion at March 31, 2026 and December 31, 2025, respectively. These values are primarily based on quoted market prices for such debt or debt of similar terms and maturities (Level 2) and our credit standing. Changes in market rates of interest affect the fair value of our fixed-rate debt. The carrying values of our variable-rate long-term debt obligations approximate their fair values since the associated interest rates are market-based. We do not have any long-term investments in debt or equity securities recorded at fair value.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transactions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 related parties:</w:t>
            </w: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Costs and expenses – related parties: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1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related party accounts receivable and accounts payable balances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5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receivable - related parties:</w:t>
            </w:r>
          </w:p>
        </w:tc>
        <w:tc>
          <w:tcPr>
            <w:tcW w:w="11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Accounts payable - related parties:</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18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EPCO and its privately held affiliates</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Unconsolidated affiliates</w:t>
            </w: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120" w:type="dxa"/>
            <w:vAlign w:val="bottom"/>
            <w:tcBorders>
              <w:bottom w:val="single" w:sz="8" w:color="auto"/>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terms and provisions of our related party agreements are fair to us; however, such agreements and transactions may not be as favorable to us as we could have obtained from unaffiliated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EPCO and Affiliates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an extensive and ongoing relationship with EPCO and its privately held affiliates (including Enterprise GP, our general partner), which are not a part of our consolidated group of companies.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EPCO and its privately held affiliates (including Dan Duncan LLC and certain Duncan family trusts) beneficially owned the following limited partner interests in us:</w:t>
      </w:r>
    </w:p>
    <w:p>
      <w:pPr>
        <w:spacing w:after="0" w:line="209" w:lineRule="exact"/>
        <w:rPr>
          <w:sz w:val="20"/>
          <w:szCs w:val="20"/>
          <w:color w:val="auto"/>
        </w:rPr>
      </w:pPr>
    </w:p>
    <w:tbl>
      <w:tblPr>
        <w:tblLayout w:type="fixed"/>
        <w:tblInd w:w="254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7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5"/>
        </w:trPr>
        <w:tc>
          <w:tcPr>
            <w:tcW w:w="43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 of Limited Partner Interests Held</w:t>
            </w:r>
          </w:p>
        </w:tc>
        <w:tc>
          <w:tcPr>
            <w:tcW w:w="17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0"/>
        </w:trPr>
        <w:tc>
          <w:tcPr>
            <w:tcW w:w="4380" w:type="dxa"/>
            <w:vAlign w:val="bottom"/>
            <w:vMerge w:val="continue"/>
          </w:tcPr>
          <w:p>
            <w:pPr>
              <w:spacing w:after="0"/>
              <w:rPr>
                <w:sz w:val="16"/>
                <w:szCs w:val="16"/>
                <w:color w:val="auto"/>
              </w:rPr>
            </w:pPr>
          </w:p>
        </w:tc>
        <w:tc>
          <w:tcPr>
            <w:tcW w:w="178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30"/>
        </w:trPr>
        <w:tc>
          <w:tcPr>
            <w:tcW w:w="43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8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rPr>
              <w:t>702,563,034 common units</w:t>
            </w:r>
          </w:p>
        </w:tc>
        <w:tc>
          <w:tcPr>
            <w:tcW w:w="1780" w:type="dxa"/>
            <w:vAlign w:val="bottom"/>
            <w:shd w:val="clear" w:color="auto" w:fill="CCEEFF"/>
          </w:tcPr>
          <w:p>
            <w:pPr>
              <w:jc w:val="center"/>
              <w:ind w:left="228"/>
              <w:spacing w:after="0"/>
              <w:rPr>
                <w:sz w:val="20"/>
                <w:szCs w:val="20"/>
                <w:color w:val="auto"/>
              </w:rPr>
            </w:pPr>
            <w:r>
              <w:rPr>
                <w:rFonts w:ascii="Times New Roman" w:cs="Times New Roman" w:eastAsia="Times New Roman" w:hAnsi="Times New Roman"/>
                <w:sz w:val="14"/>
                <w:szCs w:val="14"/>
                <w:color w:val="auto"/>
                <w:w w:val="99"/>
              </w:rPr>
              <w:t>32.5%</w:t>
            </w:r>
          </w:p>
        </w:tc>
        <w:tc>
          <w:tcPr>
            <w:tcW w:w="0" w:type="dxa"/>
            <w:vAlign w:val="bottom"/>
          </w:tcPr>
          <w:p>
            <w:pPr>
              <w:spacing w:after="0"/>
              <w:rPr>
                <w:sz w:val="1"/>
                <w:szCs w:val="1"/>
                <w:color w:val="auto"/>
              </w:rPr>
            </w:pPr>
          </w:p>
        </w:tc>
      </w:tr>
      <w:tr>
        <w:trPr>
          <w:trHeight w:val="37"/>
        </w:trPr>
        <w:tc>
          <w:tcPr>
            <w:tcW w:w="4380" w:type="dxa"/>
            <w:vAlign w:val="bottom"/>
            <w:shd w:val="clear" w:color="auto" w:fill="CCEEFF"/>
          </w:tcPr>
          <w:p>
            <w:pPr>
              <w:spacing w:after="0"/>
              <w:rPr>
                <w:sz w:val="3"/>
                <w:szCs w:val="3"/>
                <w:color w:val="auto"/>
              </w:rPr>
            </w:pPr>
          </w:p>
        </w:tc>
        <w:tc>
          <w:tcPr>
            <w:tcW w:w="17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total number of Partnership common units held by EPCO and its privately held affiliates, 59,976,464 have been pledged as security under the separate credit facilities of EPCO and its privately held affiliates at March 31, 2026. These credit facilities contain customary and other events of default, including defaults by us and other affiliates of EPCO. An event of default, followed by a foreclosure on the pledged collateral, could ultimately result in a change in ownership of these units and affect the market price of the Partnership’s common units.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and Enterprise GP are both separate legal entities apart from each other and apart from EPCO and its other affiliates, with assets and liabilities that are also separate from those of EPCO and its other affiliates. EPCO and its privately held affiliates use cash on hand and cash distributions they receive from us and other investments to fund their other activities and to meet their respective debt obligations, if any. During the three months ended March 31, 2026 and 2025, we paid EPCO and its privately held affiliates cash distributions totaling $374 million and $363 million, respectively.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employees. All of our administrative and operating functions are provided either by employees of EPCO (pursuant to the ASA) or by other service providers. We and our general partner are parties to the ASA. The following table presents our related party costs and expenses attributable to the ASA with EPCO for the periods indicated:</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costs and expenses</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lease office space from privately held affiliates of EPCO. For each of the three months ended March 31, 2026 and 2025, we recognized $6 million of related party operating lease expense in connection with these office space leases.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taxes are accounted for under the asset-and-liability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did not rely on any uncertain tax positions in recording our income tax-related amounts during the three months ended March 31, 2026 and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federal, state and foreign income tax benefit (provision) is summarized below:</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Current portion of income tax provision:</w:t>
            </w: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current portion</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portion of income tax provision:</w:t>
            </w:r>
          </w:p>
        </w:tc>
        <w:tc>
          <w:tcPr>
            <w:tcW w:w="10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1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deferred portion</w:t>
            </w: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of the benefit from (provision for) income taxes with amounts determined by applying the statutory U.S. federal income tax rate to income before income taxes is as follows:</w:t>
      </w:r>
    </w:p>
    <w:p>
      <w:pPr>
        <w:spacing w:after="0" w:line="20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33020</wp:posOffset>
            </wp:positionV>
            <wp:extent cx="29400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94005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r>
      <w:tr>
        <w:trPr>
          <w:trHeight w:val="44"/>
        </w:trPr>
        <w:tc>
          <w:tcPr>
            <w:tcW w:w="66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Pre-Tax Net Book Income (“NBI”)</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1,518</w:t>
            </w: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1,430</w:t>
            </w:r>
          </w:p>
        </w:tc>
        <w:tc>
          <w:tcPr>
            <w:tcW w:w="780" w:type="dxa"/>
            <w:vAlign w:val="bottom"/>
            <w:tcBorders>
              <w:bottom w:val="single" w:sz="8" w:color="CCEEFF"/>
            </w:tcBorders>
            <w:shd w:val="clear" w:color="auto" w:fill="CCEEFF"/>
          </w:tcPr>
          <w:p>
            <w:pPr>
              <w:spacing w:after="0"/>
              <w:rPr>
                <w:sz w:val="18"/>
                <w:szCs w:val="18"/>
                <w:color w:val="auto"/>
              </w:rPr>
            </w:pPr>
          </w:p>
        </w:tc>
      </w:tr>
      <w:tr>
        <w:trPr>
          <w:trHeight w:val="216"/>
        </w:trPr>
        <w:tc>
          <w:tcPr>
            <w:tcW w:w="6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provision at the U.S. federal income tax rate</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Reduction (increase) in provision for income taxes resulting from:</w:t>
            </w: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0"/>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Partnership income not subject to federal income tax</w:t>
            </w:r>
          </w:p>
        </w:tc>
        <w:tc>
          <w:tcPr>
            <w:tcW w:w="5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20.8 %</w:t>
            </w: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20.7 %</w:t>
            </w:r>
          </w:p>
        </w:tc>
      </w:tr>
      <w:tr>
        <w:trPr>
          <w:trHeight w:val="193"/>
        </w:trPr>
        <w:tc>
          <w:tcPr>
            <w:tcW w:w="6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Texas Margin Tax (1)</w:t>
            </w:r>
          </w:p>
        </w:tc>
        <w:tc>
          <w:tcPr>
            <w:tcW w:w="54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37"/>
        </w:trPr>
        <w:tc>
          <w:tcPr>
            <w:tcW w:w="6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2"/>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r>
      <w:tr>
        <w:trPr>
          <w:trHeight w:val="224"/>
        </w:trPr>
        <w:tc>
          <w:tcPr>
            <w:tcW w:w="6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top w:val="single" w:sz="8" w:color="CCEEFF"/>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(24)</w:t>
            </w: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r>
      <w:tr>
        <w:trPr>
          <w:trHeight w:val="188"/>
        </w:trPr>
        <w:tc>
          <w:tcPr>
            <w:tcW w:w="6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2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Effective income tax rate</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780" w:type="dxa"/>
            <w:vAlign w:val="bottom"/>
          </w:tcPr>
          <w:p>
            <w:pPr>
              <w:spacing w:after="0"/>
              <w:rPr>
                <w:sz w:val="19"/>
                <w:szCs w:val="19"/>
                <w:color w:val="auto"/>
              </w:rPr>
            </w:pPr>
          </w:p>
        </w:tc>
      </w:tr>
      <w:tr>
        <w:trPr>
          <w:trHeight w:val="26"/>
        </w:trPr>
        <w:tc>
          <w:tcPr>
            <w:tcW w:w="6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Pr>
          <w:p>
            <w:pPr>
              <w:spacing w:after="0"/>
              <w:rPr>
                <w:sz w:val="2"/>
                <w:szCs w:val="2"/>
                <w:color w:val="auto"/>
              </w:rPr>
            </w:pPr>
          </w:p>
        </w:tc>
      </w:tr>
      <w:tr>
        <w:trPr>
          <w:trHeight w:val="176"/>
        </w:trPr>
        <w:tc>
          <w:tcPr>
            <w:tcW w:w="66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bl>
    <w:p>
      <w:pPr>
        <w:spacing w:after="0" w:line="72" w:lineRule="exact"/>
        <w:rPr>
          <w:sz w:val="20"/>
          <w:szCs w:val="20"/>
          <w:color w:val="auto"/>
        </w:rPr>
      </w:pPr>
    </w:p>
    <w:p>
      <w:pPr>
        <w:ind w:left="420" w:hanging="412"/>
        <w:spacing w:after="0" w:line="282" w:lineRule="auto"/>
        <w:tabs>
          <w:tab w:leader="none" w:pos="41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the Texas Margin Tax is not considered a state income tax, it has the characteristics of an income tax since it is determined by applying a tax rate to a base that considers our Texas-sourced revenues and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components of deferred tax assets and deferred tax liabilities at the dates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 investment in OTA (1)</w:t>
            </w:r>
          </w:p>
        </w:tc>
        <w:tc>
          <w:tcPr>
            <w:tcW w:w="1120" w:type="dxa"/>
            <w:vAlign w:val="bottom"/>
            <w:tcBorders>
              <w:bottom w:val="single" w:sz="8" w:color="CCEEFF"/>
            </w:tcBorders>
            <w:shd w:val="clear" w:color="auto" w:fill="CCEEFF"/>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Attributable to property, plant and equipment</w:t>
            </w:r>
          </w:p>
        </w:tc>
        <w:tc>
          <w:tcPr>
            <w:tcW w:w="1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Attributable to investments in other entities</w:t>
            </w: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operating loss carryovers (2)</w:t>
            </w: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Temporary differences related to Texas Margin Tax</w:t>
            </w:r>
          </w:p>
        </w:tc>
        <w:tc>
          <w:tcPr>
            <w:tcW w:w="11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net deferred tax liabilities</w:t>
            </w:r>
          </w:p>
        </w:tc>
        <w:tc>
          <w:tcPr>
            <w:tcW w:w="1120" w:type="dxa"/>
            <w:vAlign w:val="bottom"/>
            <w:tcBorders>
              <w:top w:val="single" w:sz="8" w:color="auto"/>
              <w:bottom w:val="single" w:sz="8" w:color="auto"/>
            </w:tcBorders>
          </w:tcPr>
          <w:p>
            <w:pPr>
              <w:jc w:val="right"/>
              <w:ind w:right="96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hanging="392"/>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deferred tax liability balance held by our wholly owned subsidiary, OTA Holdings, Inc. (“OTA”), which we acquired in March 2020.</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amount presented as of March 31, 2026 has an indefinite carryover period. All losses are subject to limitations on their utilization.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income taxes paid, net of refunds received, during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Federal</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center"/>
              <w:ind w:left="868"/>
              <w:spacing w:after="0"/>
              <w:rPr>
                <w:sz w:val="20"/>
                <w:szCs w:val="20"/>
                <w:color w:val="auto"/>
              </w:rPr>
            </w:pPr>
            <w:r>
              <w:rPr>
                <w:rFonts w:ascii="Times New Roman" w:cs="Times New Roman" w:eastAsia="Times New Roman" w:hAnsi="Times New Roman"/>
                <w:sz w:val="14"/>
                <w:szCs w:val="14"/>
                <w:color w:val="auto"/>
              </w:rPr>
              <w:t>1</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w:t>
            </w:r>
          </w:p>
        </w:tc>
        <w:tc>
          <w:tcPr>
            <w:tcW w:w="1080" w:type="dxa"/>
            <w:vAlign w:val="bottom"/>
          </w:tcPr>
          <w:p>
            <w:pPr>
              <w:spacing w:after="0"/>
              <w:rPr>
                <w:sz w:val="17"/>
                <w:szCs w:val="17"/>
                <w:color w:val="auto"/>
              </w:rPr>
            </w:pPr>
          </w:p>
        </w:tc>
        <w:tc>
          <w:tcPr>
            <w:tcW w:w="400" w:type="dxa"/>
            <w:vAlign w:val="bottom"/>
          </w:tcPr>
          <w:p>
            <w:pPr>
              <w:jc w:val="center"/>
              <w:ind w:lef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center"/>
              <w:ind w:left="848"/>
              <w:spacing w:after="0"/>
              <w:rPr>
                <w:sz w:val="20"/>
                <w:szCs w:val="20"/>
                <w:color w:val="auto"/>
              </w:rPr>
            </w:pPr>
            <w:r>
              <w:rPr>
                <w:rFonts w:ascii="Times New Roman" w:cs="Times New Roman" w:eastAsia="Times New Roman" w:hAnsi="Times New Roman"/>
                <w:sz w:val="14"/>
                <w:szCs w:val="14"/>
                <w:color w:val="auto"/>
              </w:rPr>
              <w:t>(4)</w:t>
            </w:r>
          </w:p>
        </w:tc>
      </w:tr>
      <w:tr>
        <w:trPr>
          <w:trHeight w:val="31"/>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80" w:type="dxa"/>
            <w:vAlign w:val="bottom"/>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center"/>
              <w:ind w:left="848"/>
              <w:spacing w:after="0"/>
              <w:rPr>
                <w:sz w:val="20"/>
                <w:szCs w:val="20"/>
                <w:color w:val="auto"/>
              </w:rPr>
            </w:pPr>
            <w:r>
              <w:rPr>
                <w:rFonts w:ascii="Times New Roman" w:cs="Times New Roman" w:eastAsia="Times New Roman" w:hAnsi="Times New Roman"/>
                <w:sz w:val="14"/>
                <w:szCs w:val="14"/>
                <w:color w:val="auto"/>
              </w:rPr>
              <w:t>(3)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may be named as defendants in legal proceedings, including those arising from regulatory and environmental matters. Although we are insured against various risks to the extent we believe it is prudent, there is no assurance that the nature and amount of such insurance will be adequate, in every case, to fully indemnify us against losses arising from future legal proceedings. We will vigorously defend the Partnership in litigation matters.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accruals for litigation contingencies at March 31, 2026 and December 31,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Scheduled Maturities of Debt</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have long-term and short-term payment obligations under debt agreements. In total, the principal amount of our consolidated debt obligations were $34.2 billion and $34.7 billion at March 31, 2026 and December 31, 2025, respectively. See Note 7 for additional information regarding our scheduled future maturities of debt principal.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 Accounting Matters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significant change in our operating and finance lease obligations since those disclosed in the 2025 Form 10-K.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operating and finance leases where we are the lessee at March 31,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40" w:type="dxa"/>
            <w:vAlign w:val="bottom"/>
          </w:tcPr>
          <w:p>
            <w:pPr>
              <w:spacing w:after="0"/>
              <w:rPr>
                <w:sz w:val="15"/>
                <w:szCs w:val="15"/>
                <w:color w:val="auto"/>
              </w:rPr>
            </w:pP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ROU</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Lease</w:t>
            </w:r>
          </w:p>
        </w:tc>
        <w:tc>
          <w:tcPr>
            <w:tcW w:w="3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5"/>
        </w:trPr>
        <w:tc>
          <w:tcPr>
            <w:tcW w:w="5040" w:type="dxa"/>
            <w:vAlign w:val="bottom"/>
          </w:tcPr>
          <w:p>
            <w:pPr>
              <w:spacing w:after="0"/>
              <w:rPr>
                <w:sz w:val="15"/>
                <w:szCs w:val="15"/>
                <w:color w:val="auto"/>
              </w:rPr>
            </w:pP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Asset</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040" w:type="dxa"/>
            <w:vAlign w:val="bottom"/>
          </w:tcPr>
          <w:p>
            <w:pPr>
              <w:spacing w:after="0"/>
              <w:rPr>
                <w:sz w:val="14"/>
                <w:szCs w:val="14"/>
                <w:color w:val="auto"/>
              </w:rPr>
            </w:pP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3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Discount</w:t>
            </w:r>
          </w:p>
        </w:tc>
      </w:tr>
      <w:tr>
        <w:trPr>
          <w:trHeight w:val="190"/>
        </w:trPr>
        <w:tc>
          <w:tcPr>
            <w:tcW w:w="504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1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color w:val="auto"/>
              </w:rPr>
              <w:t>(1)</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color w:val="auto"/>
              </w:rPr>
              <w:t>(2)</w:t>
            </w:r>
          </w:p>
        </w:tc>
        <w:tc>
          <w:tcPr>
            <w:tcW w:w="3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Rate </w:t>
            </w:r>
            <w:r>
              <w:rPr>
                <w:rFonts w:ascii="Times New Roman" w:cs="Times New Roman" w:eastAsia="Times New Roman" w:hAnsi="Times New Roman"/>
                <w:sz w:val="14"/>
                <w:szCs w:val="14"/>
                <w:color w:val="auto"/>
              </w:rPr>
              <w:t>(3)</w:t>
            </w:r>
          </w:p>
        </w:tc>
      </w:tr>
      <w:tr>
        <w:trPr>
          <w:trHeight w:val="44"/>
        </w:trPr>
        <w:tc>
          <w:tcPr>
            <w:tcW w:w="50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1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Storage and pipeline facilities</w:t>
            </w:r>
          </w:p>
        </w:tc>
        <w:tc>
          <w:tcPr>
            <w:tcW w:w="1100" w:type="dxa"/>
            <w:vAlign w:val="bottom"/>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Pr>
          <w:p>
            <w:pPr>
              <w:spacing w:after="0"/>
              <w:rPr>
                <w:sz w:val="16"/>
                <w:szCs w:val="16"/>
                <w:color w:val="auto"/>
              </w:rPr>
            </w:pP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 years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37"/>
        </w:trPr>
        <w:tc>
          <w:tcPr>
            <w:tcW w:w="5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10"/>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Transportation equipment</w:t>
            </w:r>
          </w:p>
        </w:tc>
        <w:tc>
          <w:tcPr>
            <w:tcW w:w="1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193"/>
        </w:trPr>
        <w:tc>
          <w:tcPr>
            <w:tcW w:w="5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Office and warehouse space</w:t>
            </w:r>
          </w:p>
        </w:tc>
        <w:tc>
          <w:tcPr>
            <w:tcW w:w="1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 years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3.3%</w:t>
            </w:r>
          </w:p>
        </w:tc>
      </w:tr>
      <w:tr>
        <w:trPr>
          <w:trHeight w:val="44"/>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r>
      <w:tr>
        <w:trPr>
          <w:trHeight w:val="209"/>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operating leases</w:t>
            </w:r>
          </w:p>
        </w:tc>
        <w:tc>
          <w:tcPr>
            <w:tcW w:w="1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6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193"/>
        </w:trPr>
        <w:tc>
          <w:tcPr>
            <w:tcW w:w="5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7"/>
        </w:trPr>
        <w:tc>
          <w:tcPr>
            <w:tcW w:w="5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5"/>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Transportation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 years</w:t>
            </w: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180"/>
        </w:trPr>
        <w:tc>
          <w:tcPr>
            <w:tcW w:w="50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finance leases</w:t>
            </w:r>
          </w:p>
        </w:tc>
        <w:tc>
          <w:tcPr>
            <w:tcW w:w="11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4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r>
      <w:tr>
        <w:trPr>
          <w:trHeight w:val="44"/>
        </w:trPr>
        <w:tc>
          <w:tcPr>
            <w:tcW w:w="504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40" w:type="dxa"/>
            <w:vAlign w:val="bottom"/>
            <w:tcBorders>
              <w:bottom w:val="single" w:sz="8" w:color="CCEEFF"/>
            </w:tcBorders>
          </w:tcPr>
          <w:p>
            <w:pPr>
              <w:spacing w:after="0"/>
              <w:rPr>
                <w:sz w:val="3"/>
                <w:szCs w:val="3"/>
                <w:color w:val="auto"/>
              </w:rPr>
            </w:pPr>
          </w:p>
        </w:tc>
        <w:tc>
          <w:tcPr>
            <w:tcW w:w="1520" w:type="dxa"/>
            <w:vAlign w:val="bottom"/>
            <w:tcBorders>
              <w:bottom w:val="single" w:sz="8" w:color="CCEEFF"/>
            </w:tcBorders>
          </w:tcPr>
          <w:p>
            <w:pPr>
              <w:spacing w:after="0"/>
              <w:rPr>
                <w:sz w:val="3"/>
                <w:szCs w:val="3"/>
                <w:color w:val="auto"/>
              </w:rPr>
            </w:pPr>
          </w:p>
        </w:tc>
      </w:tr>
      <w:tr>
        <w:trPr>
          <w:trHeight w:val="25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leases</w:t>
            </w:r>
          </w:p>
        </w:tc>
        <w:tc>
          <w:tcPr>
            <w:tcW w:w="110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6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r>
        <w:trPr>
          <w:trHeight w:val="157"/>
        </w:trPr>
        <w:tc>
          <w:tcPr>
            <w:tcW w:w="5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bl>
    <w:p>
      <w:pPr>
        <w:spacing w:after="0" w:line="72" w:lineRule="exact"/>
        <w:rPr>
          <w:sz w:val="20"/>
          <w:szCs w:val="20"/>
          <w:color w:val="auto"/>
        </w:rPr>
      </w:pPr>
    </w:p>
    <w:p>
      <w:pPr>
        <w:ind w:left="400" w:hanging="392"/>
        <w:spacing w:after="0"/>
        <w:tabs>
          <w:tab w:leader="none" w:pos="40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ROU asset amounts are a component of “Other assets” on our Unaudited Condensed Consolidated Balance Sheet.</w:t>
      </w:r>
    </w:p>
    <w:p>
      <w:pPr>
        <w:spacing w:after="0" w:line="17" w:lineRule="exact"/>
        <w:rPr>
          <w:rFonts w:ascii="Times New Roman" w:cs="Times New Roman" w:eastAsia="Times New Roman" w:hAnsi="Times New Roman"/>
          <w:sz w:val="14"/>
          <w:szCs w:val="14"/>
          <w:color w:val="auto"/>
        </w:rPr>
      </w:pPr>
    </w:p>
    <w:p>
      <w:pPr>
        <w:ind w:left="420" w:hanging="412"/>
        <w:spacing w:after="0" w:line="259" w:lineRule="auto"/>
        <w:tabs>
          <w:tab w:leader="none" w:pos="4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2026, operating lease liabilities of $88 million and $363 million were included within “Other current liabilities” and “Other long-term liabilities,” respectively. Additionally at March 31, 2026, finance lease liabilities of $3 million and $12 million were included within “Other current liabilities” and “Other long-term liabilities,” respectively.</w:t>
      </w:r>
    </w:p>
    <w:p>
      <w:pPr>
        <w:jc w:val="both"/>
        <w:ind w:left="420" w:hanging="412"/>
        <w:spacing w:after="0" w:line="272" w:lineRule="auto"/>
        <w:tabs>
          <w:tab w:leader="none" w:pos="41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discount rate for each category of assets represents the weighted average of either (i) the implicit rate applicable to the underlying leases (where determinable) or (ii) our incremental borrowing rate adjusted for collateralization (if the implicit rate is not determinable). In general, the discount rates are based on either information available at the lease commencement date or January 1, 2019 for leases existing at the adoption date for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our total operating and finance lease expense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Long-term leases:</w:t>
            </w:r>
          </w:p>
        </w:tc>
        <w:tc>
          <w:tcPr>
            <w:tcW w:w="10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operating lease expense:</w:t>
            </w: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Non-cash lease expense (amortization of ROU assets)</w:t>
            </w:r>
          </w:p>
        </w:tc>
        <w:tc>
          <w:tcPr>
            <w:tcW w:w="1080" w:type="dxa"/>
            <w:vAlign w:val="bottom"/>
            <w:tcBorders>
              <w:bottom w:val="single" w:sz="8" w:color="CCEEFF"/>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Related accretion expense on lease liability balances</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fixed operating lease expense</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finance lease expense:</w:t>
            </w: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ROU assets</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Interest on finance lease liabilities</w:t>
            </w:r>
          </w:p>
        </w:tc>
        <w:tc>
          <w:tcPr>
            <w:tcW w:w="1080" w:type="dxa"/>
            <w:vAlign w:val="bottom"/>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fixed finance lease expense</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Variable lease expense</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long-term lease expense</w:t>
            </w:r>
          </w:p>
        </w:tc>
        <w:tc>
          <w:tcPr>
            <w:tcW w:w="10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leases</w:t>
            </w:r>
          </w:p>
        </w:tc>
        <w:tc>
          <w:tcPr>
            <w:tcW w:w="10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lease expense</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paid for operating lease liabilities was $35 million and $34 million for the three months ended March 31, 2026 and 2025, respectively. Cash paid for finance leases was $1 million for the three months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income was $5 million and $4 million for the three months ended March 31, 2026 and 2025,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Obligations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contractual future product purchase commitments for NGLs and crude oil representing enforceable and legally binding agreements as of the reporting date. In the ordinary course of business, we fulfill product purchase commitments with our third party suppliers. Outside of changes related to the ordinary course of business, our consolidated product purchase commitments at March 31, 2026 did not differ materially from those reported in our 2025 Form 10-K.</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Supplemental Cash Flow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net effect of changes in our operating accounts and cash payments for interest for the periods indicated: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Decrease (increase) in:</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 trade</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 related parties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(decrease) in:</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 trade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 related parties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product payables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 for interest, net of $24 and $45 capitalized during the three months ended March 31,</w:t>
            </w:r>
          </w:p>
        </w:tc>
        <w:tc>
          <w:tcPr>
            <w:tcW w:w="960" w:type="dxa"/>
            <w:vAlign w:val="bottom"/>
            <w:vMerge w:val="restart"/>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2026 and 2025, respectively</w:t>
            </w: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incurred liabilities for construction in progress that had not been paid at March 31, 2026 and December 31, 2025 of $465 million and $401 million, respectively. Such amounts are not included under the caption “Capital expenditures” on the Unaudited Condensed Statements of Consolidated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proceeds from asset sales and other matters for the periods indicated: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39370</wp:posOffset>
            </wp:positionV>
            <wp:extent cx="194564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Bahia NGL Pipeline ownership interest (1)</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asset sales</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4</w:t>
            </w:r>
          </w:p>
        </w:tc>
      </w:tr>
      <w:tr>
        <w:trPr>
          <w:trHeight w:val="30"/>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8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58" w:lineRule="exact"/>
        <w:rPr>
          <w:sz w:val="20"/>
          <w:szCs w:val="20"/>
          <w:color w:val="auto"/>
        </w:rPr>
      </w:pPr>
    </w:p>
    <w:p>
      <w:pPr>
        <w:ind w:left="420" w:right="20" w:hanging="412"/>
        <w:spacing w:after="0" w:line="302" w:lineRule="auto"/>
        <w:tabs>
          <w:tab w:leader="none" w:pos="41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December 2025, we completed the sale of a 40% undivided joint interest in our Bahia NGL Pipeline to ExxonMobil for approximately $655 million in cash. The cash consideration was payable in two installments, with $60 million received in December 2025 and the remaining $595 million received in January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our Unaudited Condensed Consolidated Financial Statements and accompanying Notes included in this quarterly report on Form 10-Q and the Audited Consolidated Financial Statements and related Notes, together with our discussion and analysis of financial position and results of operations, included in our annual report on Form 10-K for the year ended December 31, 2025 (the “2025 Form 10-K”), as filed on February 27, 2026 with the U.S. Securities and Exchange Commission (“SEC”). Our financial statements have been prepared in accordance with generally accepted accounting principles (“GAAP”) in the United States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Statement Regarding Forward-Looking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This quarterly report on Form 10-Q for the three months ended March 31, 2026 (our “quarterly report”) contains various forward-looking statements and information that are based on our beliefs and those of our general partner, as well as assumptions made by us and information currently available to us. When used in this document, words such as “anticipate,” “project,” “expect,” “plan,” “seek,” “goal,” “estimate,” “forecast,” “intend,” “could,” “should,” “would,” “will,” “believe,” “may,” “scheduled,” “pending,” “potential” and similar expressions and statements regarding our plans and objectives for future operations are intended to identify forward-looking statements. Although we and our general partner believe that our expectations reflected in such forward-looking statements (including any forward-looking statements/expectations of third parties referenced in this quarterly report) are reasonable, neither we nor our general partner can give any assurances that such expectations will prove to be correct.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variety of risks, uncertainties and assumptions as described in more detail under Part I, Item 1A of our 2025 Form 10-K. If one or more of these risks or uncertainties materialize, or if underlying assumptions prove incorrect, our actual results may vary materially from those anticipated, estimated, projected or expected. You should not put undue reliance on any forward-looking statements. The forward-looking statements in this quarterly report speak only as of the date hereof. Except as required by federal and state securities laws, we undertake no obligation to publicly update or revise any forward-looking statements, whether as a result of new information, future events or any other reason.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References Used in this Management’s Discussion and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to “we,” “us” or “our” within this quarterly report are intended to mean the business and operations of Enterprise Products Partners L.P. and its consolidated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the “Partnership” or “Enterprise” mean Enterprise Products Partners L.P. on a standalone basis.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References to “EPO” mean Enterprise Products Operating LLC, which is an indirect wholly owned subsidiary of the Partnership, and its consolidated subsidiaries, through which the Partnership conducts its business. We are managed by our general partner, Enterprise Products Holdings LLC (“Enterprise GP”), which is a wholly owned subsidiary of Dan Duncan LLC, a privately held Texas limited liability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membership interests of Dan Duncan LLC are owned by a voting trust, the current trustees (“DD LLC Trustees”) of which are: (i) Randa Duncan Williams, who is also a director and Chairman of the Board of Directors of Enterprise GP (the “Board”); (ii) Richard H. Bachmann, who is also a director and Vice Chairman of the Board; and (iii) W. Randall Fowler, who is also a director and a Co-Chief Executive Officer of Enterprise GP. Ms. Duncan Williams and Messrs. Bachmann and Fowler also currently serve as managers of Dan Duncan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References to “EPCO” mean Enterprise Products Company, a privately held Texas corporation, and its privately held affiliates. The outstanding voting capital stock of EPCO is owned by a voting trust, the current trustees (“EPCO Trustees”) of which are: (i) Ms. Duncan Williams, who serves as Chairman of EPCO; (ii) Mr. Bachmann, who serves as the President and Chief Executive Officer of EPCO; and (iii) Mr. Fowler, who serves as an Executive Vice President and the Chief Financial Officer of EPCO. Ms. Duncan Williams and Messrs. Bachmann and Fowler also currently serve as directors of EPCO.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Enterprise GP, EPCO and Dan Duncan LLC are affiliates under the collective common control of the DD LLC Trustees and the EPCO Trustees.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EPCO, together with its privately held affiliates, owned approximately 32.5% of the Partnership’s common units outstanding at March 31,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generally used in the energy industry and in this quarterly report, the acronyms below have the following meanings:</w:t>
      </w:r>
    </w:p>
    <w:p>
      <w:pPr>
        <w:spacing w:after="0" w:line="270" w:lineRule="exact"/>
        <w:rPr>
          <w:sz w:val="20"/>
          <w:szCs w:val="20"/>
          <w:color w:val="auto"/>
        </w:rPr>
      </w:pPr>
    </w:p>
    <w:tbl>
      <w:tblPr>
        <w:tblLayout w:type="fixed"/>
        <w:tblInd w:w="1200" w:type="dxa"/>
        <w:tblCellMar>
          <w:top w:w="0" w:type="dxa"/>
          <w:left w:w="0" w:type="dxa"/>
          <w:bottom w:w="0" w:type="dxa"/>
          <w:right w:w="0" w:type="dxa"/>
        </w:tblCellMar>
      </w:tblPr>
      <w:tr>
        <w:trPr>
          <w:trHeight w:val="209"/>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per day</w:t>
            </w:r>
          </w:p>
        </w:tc>
        <w:tc>
          <w:tcPr>
            <w:tcW w:w="16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MMBPD</w:t>
            </w:r>
          </w:p>
        </w:tc>
        <w:tc>
          <w:tcPr>
            <w:tcW w:w="330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   million barrels per day</w:t>
            </w:r>
          </w:p>
        </w:tc>
      </w:tr>
      <w:tr>
        <w:trPr>
          <w:trHeight w:val="19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BBtus</w:t>
            </w:r>
          </w:p>
        </w:tc>
        <w:tc>
          <w:tcPr>
            <w:tcW w:w="30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billion British thermal units</w:t>
            </w:r>
          </w:p>
        </w:tc>
        <w:tc>
          <w:tcPr>
            <w:tcW w:w="16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MMBtus</w:t>
            </w: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million British thermal units</w:t>
            </w:r>
          </w:p>
        </w:tc>
      </w:tr>
      <w:tr>
        <w:trPr>
          <w:trHeight w:val="37"/>
        </w:trPr>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10"/>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Bcf</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billion cubic feet</w:t>
            </w:r>
          </w:p>
        </w:tc>
        <w:tc>
          <w:tcPr>
            <w:tcW w:w="16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MMcf</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million cubic feet</w:t>
            </w:r>
          </w:p>
        </w:tc>
      </w:tr>
      <w:tr>
        <w:trPr>
          <w:trHeight w:val="19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BPD</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barrels per day</w:t>
            </w:r>
          </w:p>
        </w:tc>
        <w:tc>
          <w:tcPr>
            <w:tcW w:w="16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MWac</w:t>
            </w: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megawatts, alternating current</w:t>
            </w:r>
          </w:p>
        </w:tc>
      </w:tr>
      <w:tr>
        <w:trPr>
          <w:trHeight w:val="37"/>
        </w:trPr>
        <w:tc>
          <w:tcPr>
            <w:tcW w:w="860" w:type="dxa"/>
            <w:vAlign w:val="bottom"/>
          </w:tcPr>
          <w:p>
            <w:pPr>
              <w:spacing w:after="0"/>
              <w:rPr>
                <w:sz w:val="3"/>
                <w:szCs w:val="3"/>
                <w:color w:val="auto"/>
              </w:rPr>
            </w:pPr>
          </w:p>
        </w:tc>
        <w:tc>
          <w:tcPr>
            <w:tcW w:w="3020" w:type="dxa"/>
            <w:vAlign w:val="bottom"/>
            <w:gridSpan w:val="2"/>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0" w:type="dxa"/>
            <w:vAlign w:val="bottom"/>
          </w:tcPr>
          <w:p>
            <w:pPr>
              <w:spacing w:after="0"/>
              <w:rPr>
                <w:sz w:val="3"/>
                <w:szCs w:val="3"/>
                <w:color w:val="auto"/>
              </w:rPr>
            </w:pPr>
          </w:p>
        </w:tc>
      </w:tr>
      <w:tr>
        <w:trPr>
          <w:trHeight w:val="210"/>
        </w:trPr>
        <w:tc>
          <w:tcPr>
            <w:tcW w:w="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MBPD</w:t>
            </w:r>
          </w:p>
        </w:tc>
        <w:tc>
          <w:tcPr>
            <w:tcW w:w="3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   thousand barrels per day</w:t>
            </w:r>
          </w:p>
        </w:tc>
        <w:tc>
          <w:tcPr>
            <w:tcW w:w="16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MWdc</w:t>
            </w:r>
          </w:p>
        </w:tc>
        <w:tc>
          <w:tcPr>
            <w:tcW w:w="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megawatts, direct current</w:t>
            </w:r>
          </w:p>
        </w:tc>
      </w:tr>
      <w:tr>
        <w:trPr>
          <w:trHeight w:val="193"/>
        </w:trPr>
        <w:tc>
          <w:tcPr>
            <w:tcW w:w="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MMBbls</w:t>
            </w: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million barrels</w:t>
            </w:r>
          </w:p>
        </w:tc>
        <w:tc>
          <w:tcPr>
            <w:tcW w:w="168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TBtus</w:t>
            </w:r>
          </w:p>
        </w:tc>
        <w:tc>
          <w:tcPr>
            <w:tcW w:w="33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trillion British thermal units</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the phrase “quarter-to-quarter” means the first quarter of 2026 compared to the first quarter of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publicly traded Delaware limited partnership, the common units of which are listed on the New York Stock Exchange (“NYSE”) under the ticker symbol “EPD.” Our preferred units are not publicly traded. We were formed in April 1998 to own and operate certain natural gas liquids (“NGLs”) related businesses of EPCO and are a leading North American provider of midstream energy services to producers and consumers of natural gas, NGLs, crude oil, petrochemicals and refined products. We are owned by our limited partners (preferred and common unitholders) from an economic perspective. Enterprise GP, which owns a non-economic general partner interest in us, manages our Partnership. We conduct substantially all of our business operations through EPO and its consolidated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fully integrated, midstream energy asset network (or “value chain”) links producers of natural gas, NGLs and crude oil from some of the largest supply basins in the U.S., Canada and the Gulf of Mexico with domestic consumers and international markets. Our midstream energy operations include:</w:t>
      </w:r>
    </w:p>
    <w:p>
      <w:pPr>
        <w:spacing w:after="0" w:line="162" w:lineRule="exact"/>
        <w:rPr>
          <w:sz w:val="20"/>
          <w:szCs w:val="20"/>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gathering, treating, processing, transportation and storage;</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NGL transportation, fractionation, storage, and marine terminals (including those used to export liquefied petroleum gases (“LPG”) and ethane);</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crude oil gathering, transportation, storage, and marine terminals;</w:t>
      </w:r>
    </w:p>
    <w:p>
      <w:pPr>
        <w:spacing w:after="0" w:line="225"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propylene production facilities (including propane dehydrogenation (“PDH”) facilities), butane isomerization, octane enhancement, isobutane dehydrogenation (“iBDH”) and high purity isobutylene (“HPIB”) production facilities;</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petrochemical and refined products transportation, storage, and marine terminals (including those used to export ethylene and polymer grade propylene (“PGP”)); and</w:t>
      </w:r>
    </w:p>
    <w:p>
      <w:pPr>
        <w:spacing w:after="0" w:line="161"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marine transportation business that operates on key U.S. inland and intracoastal waterway systems.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safe operation of our assets is a top priority. We are committed to protecting the environment and the health and safety of the public and those working on our behalf by conducting our business activities in a safe and environmentally responsible manner. For additional information, see “</w:t>
      </w:r>
      <w:r>
        <w:rPr>
          <w:rFonts w:ascii="Times New Roman" w:cs="Times New Roman" w:eastAsia="Times New Roman" w:hAnsi="Times New Roman"/>
          <w:sz w:val="18"/>
          <w:szCs w:val="18"/>
          <w:i w:val="1"/>
          <w:iCs w:val="1"/>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Safety and Conservation</w:t>
      </w:r>
      <w:r>
        <w:rPr>
          <w:rFonts w:ascii="Times New Roman" w:cs="Times New Roman" w:eastAsia="Times New Roman" w:hAnsi="Times New Roman"/>
          <w:sz w:val="18"/>
          <w:szCs w:val="18"/>
          <w:color w:val="auto"/>
        </w:rPr>
        <w:t>” within the Regulatory Matters section of Part I, Items 1 and 2 of the 2025 Form 10-K.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Like many publicly traded partnerships, we have no employees. All of our management, administrative and operating functions are performed by employees of EPCO pursuant to an administrative services agreement (the “ASA”) or by other service providers.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Our financial position, results of operations and cash flows are subject to certain risks. For information regarding such risks,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the 2025 Form 10-K.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provide investors access to additional information regarding the Partnership and our consolidated businesses, including information relating to governance procedures and principles, through our website, </w:t>
      </w:r>
      <w:r>
        <w:rPr>
          <w:rFonts w:ascii="Times New Roman" w:cs="Times New Roman" w:eastAsia="Times New Roman" w:hAnsi="Times New Roman"/>
          <w:sz w:val="18"/>
          <w:szCs w:val="18"/>
          <w:i w:val="1"/>
          <w:iCs w:val="1"/>
          <w:u w:val="single" w:color="auto"/>
          <w:color w:val="0000FF"/>
        </w:rPr>
        <w:t>www.enterpriseproducts.com.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Selected Energy Commodity Price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natural gas and selected NGL products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10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Ethane,</w:t>
            </w:r>
          </w:p>
        </w:tc>
        <w:tc>
          <w:tcPr>
            <w:tcW w:w="108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Propane,</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Normal</w:t>
            </w:r>
          </w:p>
        </w:tc>
        <w:tc>
          <w:tcPr>
            <w:tcW w:w="106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Isobutane,</w:t>
            </w:r>
          </w:p>
        </w:tc>
        <w:tc>
          <w:tcPr>
            <w:tcW w:w="9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Natural</w:t>
            </w: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Gas,</w:t>
            </w:r>
          </w:p>
        </w:tc>
        <w:tc>
          <w:tcPr>
            <w:tcW w:w="102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Butane,</w:t>
            </w:r>
          </w:p>
        </w:tc>
        <w:tc>
          <w:tcPr>
            <w:tcW w:w="1060" w:type="dxa"/>
            <w:vAlign w:val="bottom"/>
            <w:vMerge w:val="continue"/>
          </w:tcPr>
          <w:p>
            <w:pPr>
              <w:spacing w:after="0"/>
              <w:rPr>
                <w:sz w:val="14"/>
                <w:szCs w:val="14"/>
                <w:color w:val="auto"/>
              </w:rPr>
            </w:pP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Gasoline,</w:t>
            </w:r>
          </w:p>
        </w:tc>
        <w:tc>
          <w:tcPr>
            <w:tcW w:w="0" w:type="dxa"/>
            <w:vAlign w:val="bottom"/>
          </w:tcPr>
          <w:p>
            <w:pPr>
              <w:spacing w:after="0"/>
              <w:rPr>
                <w:sz w:val="1"/>
                <w:szCs w:val="1"/>
                <w:color w:val="auto"/>
              </w:rPr>
            </w:pPr>
          </w:p>
        </w:tc>
      </w:tr>
      <w:tr>
        <w:trPr>
          <w:trHeight w:val="204"/>
        </w:trPr>
        <w:tc>
          <w:tcPr>
            <w:tcW w:w="4900" w:type="dxa"/>
            <w:vAlign w:val="bottom"/>
          </w:tcPr>
          <w:p>
            <w:pPr>
              <w:spacing w:after="0"/>
              <w:rPr>
                <w:sz w:val="17"/>
                <w:szCs w:val="17"/>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$/gallon</w:t>
            </w:r>
          </w:p>
        </w:tc>
        <w:tc>
          <w:tcPr>
            <w:tcW w:w="0" w:type="dxa"/>
            <w:vAlign w:val="bottom"/>
          </w:tcPr>
          <w:p>
            <w:pPr>
              <w:spacing w:after="0"/>
              <w:rPr>
                <w:sz w:val="1"/>
                <w:szCs w:val="1"/>
                <w:color w:val="auto"/>
              </w:rPr>
            </w:pPr>
          </w:p>
        </w:tc>
      </w:tr>
      <w:tr>
        <w:trPr>
          <w:trHeight w:val="31"/>
        </w:trPr>
        <w:tc>
          <w:tcPr>
            <w:tcW w:w="4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900" w:type="dxa"/>
            <w:vAlign w:val="bottom"/>
          </w:tcPr>
          <w:p>
            <w:pPr>
              <w:spacing w:after="0"/>
              <w:rPr>
                <w:sz w:val="16"/>
                <w:szCs w:val="16"/>
                <w:color w:val="auto"/>
              </w:rPr>
            </w:pPr>
          </w:p>
        </w:tc>
        <w:tc>
          <w:tcPr>
            <w:tcW w:w="11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(1)</w:t>
            </w:r>
          </w:p>
        </w:tc>
        <w:tc>
          <w:tcPr>
            <w:tcW w:w="10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(2)</w:t>
            </w: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7"/>
              </w:rPr>
              <w:t>(2)</w:t>
            </w:r>
          </w:p>
        </w:tc>
        <w:tc>
          <w:tcPr>
            <w:tcW w:w="102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(2)</w:t>
            </w:r>
          </w:p>
        </w:tc>
        <w:tc>
          <w:tcPr>
            <w:tcW w:w="106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(2)</w:t>
            </w:r>
          </w:p>
        </w:tc>
        <w:tc>
          <w:tcPr>
            <w:tcW w:w="9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by quarter:</w:t>
            </w: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$3.65</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$0.27</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$0.90</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$1.06</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0" w:type="dxa"/>
            <w:vAlign w:val="bottom"/>
          </w:tcPr>
          <w:p>
            <w:pPr>
              <w:spacing w:after="0"/>
              <w:rPr>
                <w:sz w:val="1"/>
                <w:szCs w:val="1"/>
                <w:color w:val="auto"/>
              </w:rPr>
            </w:pPr>
          </w:p>
        </w:tc>
      </w:tr>
      <w:tr>
        <w:trPr>
          <w:trHeight w:val="19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2nd Quarter</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$3.44</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$0.24</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$0.93</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37"/>
        </w:trPr>
        <w:tc>
          <w:tcPr>
            <w:tcW w:w="4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3rd Quarter</w:t>
            </w:r>
          </w:p>
        </w:tc>
        <w:tc>
          <w:tcPr>
            <w:tcW w:w="11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$3.07</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$0.23</w:t>
            </w:r>
          </w:p>
        </w:tc>
        <w:tc>
          <w:tcPr>
            <w:tcW w:w="108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$0.69</w:t>
            </w:r>
          </w:p>
        </w:tc>
        <w:tc>
          <w:tcPr>
            <w:tcW w:w="10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$0.86</w:t>
            </w:r>
          </w:p>
        </w:tc>
        <w:tc>
          <w:tcPr>
            <w:tcW w:w="10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06"/>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4th Quarter</w:t>
            </w:r>
          </w:p>
        </w:tc>
        <w:tc>
          <w:tcPr>
            <w:tcW w:w="11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$3.55</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$0.27</w:t>
            </w:r>
          </w:p>
        </w:tc>
        <w:tc>
          <w:tcPr>
            <w:tcW w:w="10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$0.62</w:t>
            </w: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$0.84</w:t>
            </w:r>
          </w:p>
        </w:tc>
        <w:tc>
          <w:tcPr>
            <w:tcW w:w="10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31"/>
        </w:trPr>
        <w:tc>
          <w:tcPr>
            <w:tcW w:w="49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 Averages</w:t>
            </w:r>
          </w:p>
        </w:tc>
        <w:tc>
          <w:tcPr>
            <w:tcW w:w="11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$3.43</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$0.25</w:t>
            </w:r>
          </w:p>
        </w:tc>
        <w:tc>
          <w:tcPr>
            <w:tcW w:w="10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$0.75</w:t>
            </w:r>
          </w:p>
        </w:tc>
        <w:tc>
          <w:tcPr>
            <w:tcW w:w="10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$0.91</w:t>
            </w:r>
          </w:p>
        </w:tc>
        <w:tc>
          <w:tcPr>
            <w:tcW w:w="106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$0.95</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 by quarter:</w:t>
            </w:r>
          </w:p>
        </w:tc>
        <w:tc>
          <w:tcPr>
            <w:tcW w:w="1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1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$5.05</w:t>
            </w: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$0.23</w:t>
            </w:r>
          </w:p>
        </w:tc>
        <w:tc>
          <w:tcPr>
            <w:tcW w:w="10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0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$0.88</w:t>
            </w:r>
          </w:p>
        </w:tc>
        <w:tc>
          <w:tcPr>
            <w:tcW w:w="10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$0.89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0" w:hanging="392"/>
        <w:spacing w:after="0"/>
        <w:tabs>
          <w:tab w:leader="none" w:pos="4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gas prices are based on Henry-Hub Inside FERC commercial index prices as reported by Platts, which is a division of S&amp;P Global, Inc.</w:t>
      </w:r>
    </w:p>
    <w:p>
      <w:pPr>
        <w:spacing w:after="0" w:line="17" w:lineRule="exact"/>
        <w:rPr>
          <w:rFonts w:ascii="Times New Roman" w:cs="Times New Roman" w:eastAsia="Times New Roman" w:hAnsi="Times New Roman"/>
          <w:sz w:val="14"/>
          <w:szCs w:val="14"/>
          <w:color w:val="auto"/>
        </w:rPr>
      </w:pPr>
    </w:p>
    <w:p>
      <w:pPr>
        <w:ind w:left="420" w:hanging="412"/>
        <w:spacing w:after="0" w:line="278" w:lineRule="auto"/>
        <w:tabs>
          <w:tab w:leader="none" w:pos="41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NGL prices for ethane, propane, normal butane, isobutane and natural gasoline are based on Mont Belvieu, Texas Non-TET commercial index prices as reported by Oil Price Information Service, which is a division of Dow Jones.</w:t>
      </w:r>
    </w:p>
    <w:p>
      <w:pPr>
        <w:spacing w:after="0" w:line="2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weighted-average indicative market price for NGLs was $0.57 per gallon in the first quarter of 2026 versus $0.67 per gallon in the first quarter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average index prices for crude oil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WTI</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Midland</w:t>
            </w:r>
          </w:p>
        </w:tc>
        <w:tc>
          <w:tcPr>
            <w:tcW w:w="13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Houston</w:t>
            </w:r>
          </w:p>
        </w:tc>
      </w:tr>
      <w:tr>
        <w:trPr>
          <w:trHeight w:val="175"/>
        </w:trPr>
        <w:tc>
          <w:tcPr>
            <w:tcW w:w="6580" w:type="dxa"/>
            <w:vAlign w:val="bottom"/>
          </w:tcPr>
          <w:p>
            <w:pPr>
              <w:spacing w:after="0"/>
              <w:rPr>
                <w:sz w:val="15"/>
                <w:szCs w:val="15"/>
                <w:color w:val="auto"/>
              </w:rPr>
            </w:pPr>
          </w:p>
        </w:tc>
        <w:tc>
          <w:tcPr>
            <w:tcW w:w="1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Crude Oil,</w:t>
            </w:r>
          </w:p>
        </w:tc>
      </w:tr>
      <w:tr>
        <w:trPr>
          <w:trHeight w:val="190"/>
        </w:trPr>
        <w:tc>
          <w:tcPr>
            <w:tcW w:w="6580" w:type="dxa"/>
            <w:vAlign w:val="bottom"/>
          </w:tcPr>
          <w:p>
            <w:pPr>
              <w:spacing w:after="0"/>
              <w:rPr>
                <w:sz w:val="16"/>
                <w:szCs w:val="16"/>
                <w:color w:val="auto"/>
              </w:rPr>
            </w:pPr>
          </w:p>
        </w:tc>
        <w:tc>
          <w:tcPr>
            <w:tcW w:w="17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9"/>
              </w:rPr>
              <w:t>$/barrel</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$/barrel</w:t>
            </w:r>
          </w:p>
        </w:tc>
        <w:tc>
          <w:tcPr>
            <w:tcW w:w="13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$/barrel</w:t>
            </w:r>
          </w:p>
        </w:tc>
      </w:tr>
      <w:tr>
        <w:trPr>
          <w:trHeight w:val="30"/>
        </w:trPr>
        <w:tc>
          <w:tcPr>
            <w:tcW w:w="65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3"/>
        </w:trPr>
        <w:tc>
          <w:tcPr>
            <w:tcW w:w="6580" w:type="dxa"/>
            <w:vAlign w:val="bottom"/>
          </w:tcPr>
          <w:p>
            <w:pPr>
              <w:spacing w:after="0"/>
              <w:rPr>
                <w:sz w:val="16"/>
                <w:szCs w:val="16"/>
                <w:color w:val="auto"/>
              </w:rPr>
            </w:pPr>
          </w:p>
        </w:tc>
        <w:tc>
          <w:tcPr>
            <w:tcW w:w="174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7"/>
              </w:rPr>
              <w:t>(1)</w:t>
            </w:r>
          </w:p>
        </w:tc>
        <w:tc>
          <w:tcPr>
            <w:tcW w:w="1560" w:type="dxa"/>
            <w:vAlign w:val="bottom"/>
          </w:tcPr>
          <w:p>
            <w:pPr>
              <w:jc w:val="center"/>
              <w:ind w:right="308"/>
              <w:spacing w:after="0"/>
              <w:rPr>
                <w:sz w:val="20"/>
                <w:szCs w:val="20"/>
                <w:color w:val="auto"/>
              </w:rPr>
            </w:pPr>
            <w:r>
              <w:rPr>
                <w:rFonts w:ascii="Times New Roman" w:cs="Times New Roman" w:eastAsia="Times New Roman" w:hAnsi="Times New Roman"/>
                <w:sz w:val="14"/>
                <w:szCs w:val="14"/>
                <w:color w:val="auto"/>
              </w:rPr>
              <w:t>(2)</w:t>
            </w:r>
          </w:p>
        </w:tc>
        <w:tc>
          <w:tcPr>
            <w:tcW w:w="13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w w:val="97"/>
              </w:rPr>
              <w:t>(2)</w:t>
            </w: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 by quarter:</w:t>
            </w:r>
          </w:p>
        </w:tc>
        <w:tc>
          <w:tcPr>
            <w:tcW w:w="17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7"/>
        </w:trPr>
        <w:tc>
          <w:tcPr>
            <w:tcW w:w="6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$71.42</w:t>
            </w:r>
          </w:p>
        </w:tc>
        <w:tc>
          <w:tcPr>
            <w:tcW w:w="15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$72.52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$72.81</w:t>
            </w:r>
          </w:p>
        </w:tc>
      </w:tr>
      <w:tr>
        <w:trPr>
          <w:trHeight w:val="193"/>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2nd Quarter</w:t>
            </w:r>
          </w:p>
        </w:tc>
        <w:tc>
          <w:tcPr>
            <w:tcW w:w="1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$63.87</w:t>
            </w:r>
          </w:p>
        </w:tc>
        <w:tc>
          <w:tcPr>
            <w:tcW w:w="1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$64.42</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$64.65</w:t>
            </w:r>
          </w:p>
        </w:tc>
      </w:tr>
      <w:tr>
        <w:trPr>
          <w:trHeight w:val="37"/>
        </w:trPr>
        <w:tc>
          <w:tcPr>
            <w:tcW w:w="65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3rd Quarter</w:t>
            </w:r>
          </w:p>
        </w:tc>
        <w:tc>
          <w:tcPr>
            <w:tcW w:w="174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$64.93</w:t>
            </w:r>
          </w:p>
        </w:tc>
        <w:tc>
          <w:tcPr>
            <w:tcW w:w="15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$65.76</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$66.09</w:t>
            </w:r>
          </w:p>
        </w:tc>
      </w:tr>
      <w:tr>
        <w:trPr>
          <w:trHeight w:val="206"/>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4th Quarter</w:t>
            </w:r>
          </w:p>
        </w:tc>
        <w:tc>
          <w:tcPr>
            <w:tcW w:w="17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$59.14</w:t>
            </w:r>
          </w:p>
        </w:tc>
        <w:tc>
          <w:tcPr>
            <w:tcW w:w="15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$59.77</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$60.05</w:t>
            </w:r>
          </w:p>
        </w:tc>
      </w:tr>
      <w:tr>
        <w:trPr>
          <w:trHeight w:val="30"/>
        </w:trPr>
        <w:tc>
          <w:tcPr>
            <w:tcW w:w="65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 Averages</w:t>
            </w:r>
          </w:p>
        </w:tc>
        <w:tc>
          <w:tcPr>
            <w:tcW w:w="17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$64.84</w:t>
            </w:r>
          </w:p>
        </w:tc>
        <w:tc>
          <w:tcPr>
            <w:tcW w:w="15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$65.62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8"/>
        </w:trPr>
        <w:tc>
          <w:tcPr>
            <w:tcW w:w="6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 by quarter:</w:t>
            </w:r>
          </w:p>
        </w:tc>
        <w:tc>
          <w:tcPr>
            <w:tcW w:w="174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198"/>
        </w:trPr>
        <w:tc>
          <w:tcPr>
            <w:tcW w:w="6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1st Quarter</w:t>
            </w:r>
          </w:p>
        </w:tc>
        <w:tc>
          <w:tcPr>
            <w:tcW w:w="17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$71.93</w:t>
            </w:r>
          </w:p>
        </w:tc>
        <w:tc>
          <w:tcPr>
            <w:tcW w:w="1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$73.97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$74.67</w:t>
            </w:r>
          </w:p>
        </w:tc>
      </w:tr>
      <w:tr>
        <w:trPr>
          <w:trHeight w:val="26"/>
        </w:trPr>
        <w:tc>
          <w:tcPr>
            <w:tcW w:w="658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76"/>
        </w:trPr>
        <w:tc>
          <w:tcPr>
            <w:tcW w:w="65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r>
    </w:tbl>
    <w:p>
      <w:pPr>
        <w:spacing w:after="0" w:line="72" w:lineRule="exact"/>
        <w:rPr>
          <w:sz w:val="20"/>
          <w:szCs w:val="20"/>
          <w:color w:val="auto"/>
        </w:rPr>
      </w:pPr>
    </w:p>
    <w:p>
      <w:pPr>
        <w:ind w:left="400" w:hanging="392"/>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WTI prices are based on commercial index prices at Cushing, Oklahoma as measured by the NYMEX.</w:t>
      </w:r>
    </w:p>
    <w:p>
      <w:pPr>
        <w:spacing w:after="0" w:line="27"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Midland and Houston crude oil prices are based on commercial index prices as reported by Argus.</w:t>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Fluctuations in our consolidated revenues and cost of sales amounts are explained in large part by changes in energy commodity prices. An increase in our consolidated marketing revenues due to higher energy commodity sales prices may not result in an increase in gross operating margin or cash available for distribution, since our consolidated cost of sales amounts would also be expected to increase due to comparable increases in the purchase prices of the underlying energy commodities. The same type of relationship would be true in the case of lower energy commodity sales prices and purchase costs.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attempt to mitigate commodity price exposure through our hedging activities and the use of fee-based arrangements. See Note 13 of the Notes to Unaudited Condensed Consolidated Financial Statements included under Part I, Item 1 of this quarterly report and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About Market Risk</w:t>
      </w:r>
      <w:r>
        <w:rPr>
          <w:rFonts w:ascii="Times New Roman" w:cs="Times New Roman" w:eastAsia="Times New Roman" w:hAnsi="Times New Roman"/>
          <w:sz w:val="18"/>
          <w:szCs w:val="18"/>
          <w:color w:val="auto"/>
        </w:rPr>
        <w:t>” under Part I, Item 3 of this quarterly report for information regarding our commodity hedging activities.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Impact of Inflation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Inflation rates in the U.S., which are generally influenced by a variety of macroeconomic and policy-related factors, have moderated from prior levels, but remain a relevant consideration for the overall cost environment. In addition, there is uncertainty of what effect, if any, trade tariffs will have on inflation in future periods. However, to the extent that a rising cost environment impacts our results, there are typically offsetting benefits either inherent in our business or that result from other steps we take proactively to reduce the impact of inflation on our net operating results. These benefits include: (1) provisions included in our long-term fee-based revenue contracts that offset cost increases in the form of rate escalations based on positive changes in the U.S. Consumer Price Index, Producer Price Index for Finished Goods or other factors; (2) provisions in other revenue contracts that enable us to pass through higher energy costs to customers in the form of gas, electricity and fuel rebills or surcharges; and (3) higher commodity prices, which generally enhance our results in the form of increased volumetric throughput and demand for our services. Additionally, we take measures to mitigate the impact of cost increases in certain commodities, including a portion of our electricity needs, using fixed-price, term purchase agreements, or financial derivatives. For these reasons, the increased cost environment, caused in part by inflation, has not had a material impact on our historical results of operations for the periods presented in this report. However, a significant or prolonged period of high inflation could adversely impact our results if costs were to increase at a rate greater than the increase in the revenues we receive.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 Item 2 for a discussion of the impact of inflation on our capital investment decisions.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Statement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key components of our consolidated results of operations for the periods indicated (dollars in millions):</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15,417</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costs and expenses: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Cost of sales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12,005</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operating costs and expenses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r>
      <w:tr>
        <w:trPr>
          <w:trHeight w:val="19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9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2"/>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13,690</w:t>
            </w:r>
          </w:p>
        </w:tc>
      </w:tr>
      <w:tr>
        <w:trPr>
          <w:trHeight w:val="206"/>
        </w:trPr>
        <w:tc>
          <w:tcPr>
            <w:tcW w:w="81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costs and expenses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13,750</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expense</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w:t>
            </w:r>
          </w:p>
        </w:tc>
      </w:tr>
      <w:tr>
        <w:trPr>
          <w:trHeight w:val="206"/>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net</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4"/>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other expense, net</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80"/>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1,430</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5"/>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0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w:t>
            </w: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attributable to preferred units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unitholders</w:t>
            </w: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each business segment’s contribution to consolidated revenues for the periods indicated (dollars in millions):</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NGL Pipelines &amp; Services:</w:t>
            </w: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NGLs and related products</w:t>
            </w:r>
          </w:p>
        </w:tc>
        <w:tc>
          <w:tcPr>
            <w:tcW w:w="96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4,651</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Midstream services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5,400</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Crude Oil Pipelines &amp; Services:</w:t>
            </w: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crude oil</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4,825</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Midstream services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Natural Gas Pipelines &amp; Services:</w:t>
            </w: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natural gas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Midstream services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1,221</w:t>
            </w:r>
          </w:p>
        </w:tc>
        <w:tc>
          <w:tcPr>
            <w:tcW w:w="0" w:type="dxa"/>
            <w:vAlign w:val="bottom"/>
          </w:tcPr>
          <w:p>
            <w:pPr>
              <w:spacing w:after="0"/>
              <w:rPr>
                <w:sz w:val="1"/>
                <w:szCs w:val="1"/>
                <w:color w:val="auto"/>
              </w:rPr>
            </w:pPr>
          </w:p>
        </w:tc>
      </w:tr>
      <w:tr>
        <w:trPr>
          <w:trHeight w:val="166"/>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Petrochemical &amp; Refined Products Services:</w:t>
            </w: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Sales of petrochemicals and refined products</w:t>
            </w:r>
          </w:p>
        </w:tc>
        <w:tc>
          <w:tcPr>
            <w:tcW w:w="9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3,326</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Midstream services</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w:t>
            </w:r>
          </w:p>
        </w:tc>
        <w:tc>
          <w:tcPr>
            <w:tcW w:w="0" w:type="dxa"/>
            <w:vAlign w:val="bottom"/>
          </w:tcPr>
          <w:p>
            <w:pPr>
              <w:spacing w:after="0"/>
              <w:rPr>
                <w:sz w:val="1"/>
                <w:szCs w:val="1"/>
                <w:color w:val="auto"/>
              </w:rPr>
            </w:pPr>
          </w:p>
        </w:tc>
      </w:tr>
      <w:tr>
        <w:trPr>
          <w:trHeight w:val="225"/>
        </w:trPr>
        <w:tc>
          <w:tcPr>
            <w:tcW w:w="81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consolidated revenues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14,386</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15,417</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Total revenues for the first quarter of 2026 decreased $1.0 billion when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primarily due to lower marketing revenues.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Revenues from the marketing of NGLs decreased $1.4 billion quarter-to-quarter primarily due to lower average sales prices. Revenues from the marketing of petrochemicals and refined products decreased $727 million quarter-to-quarter primarily due to lower sales volumes, which accounted for a $479 million decrease, and lower average sales prices, which accounted for an additional $248 million decrease. Revenues from the marketing of natural gas decreased $154 million quarter-to-quarter primarily due to lower average sales prices. Revenues from the marketing of crude oil increased a net $1.2 billion quarter-to-quarter primarily due to higher sales volumes, which accounted for a $1.4 billion increase, partially offset by lower average sales prices, which accounted for a $259 million decrease.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from midstream services for the first quarter of 2026 increased $51 million when compared to the first quarter of 2025 primarily due to higher demand for transportation services on our NGL and natural gas transportation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costs and expenses for the first quarter of 2026 decreased $1.2 billion when compared to the first quarter of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sales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Cost of sales for the first quarter of 2026 decreased a net $1.3 billion when compared to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2025. The cost of sales associated with the marketing of NGLs decreased $1.9 billion quarter-to-quarter primarily due to lower average purchase prices. The cost of sales associated with the marketing of petrochemicals and refined products decreased $645 million quarter-to-quarter primarily due to lower volumes, which accounted for a $527 million decrease, and lower average purchase prices, which accounted for an additional $118 million decrease. The cost of sales associated with the marketing of crude oil increased a net $1.2 billion quarter-to-quarter primarily due to higher volumes which accounted for a $1.4 billion increase, partially offset by lower average purchase prices, which accounted for a $163 million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costs and expenses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operating costs and expenses for the first quarter of 2026 increased $75 million when compared to the first quarter of 2025 primarily due to higher employee compensation and chemical costs.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Depreciation, amortization and accretion expenses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Depreciation, amortization and accretion expense for the first quarter of 2026 increased $64 million when compared to the first quarter of 2025 primarily due to higher depreciation expense on assets placed into full or limited service since the end of the first quarter of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costs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for the first quarter of 2026 increased $4 million when compared to the first quarter of 2025 primarily due to higher employee compensation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income of unconsolidated affiliates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Equity income from our unconsolidated affiliates for the first quarter of 2026 decreased $18 million when compared to the first quarter of 2025 primarily due to lower earnings from investments in crude pipelines.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for the first quarter of 2026 increased $134 million when compared to the first quarter of 2025 due to the previously described quarter-to-quarter changes.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our consolidated interest expense for the periods indicated (dollars in millions):</w:t>
      </w:r>
    </w:p>
    <w:p>
      <w:pPr>
        <w:spacing w:after="0" w:line="273"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33020</wp:posOffset>
            </wp:positionV>
            <wp:extent cx="179133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charged on debt principal outstanding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Impact of interest rate hedging program, including related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Interest costs capitalized in connection with construction projects (2)</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left="52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98" w:lineRule="exact"/>
        <w:rPr>
          <w:sz w:val="20"/>
          <w:szCs w:val="20"/>
          <w:color w:val="auto"/>
        </w:rPr>
      </w:pPr>
    </w:p>
    <w:p>
      <w:pPr>
        <w:spacing w:after="0"/>
        <w:tabs>
          <w:tab w:leader="none" w:pos="1040" w:val="left"/>
          <w:tab w:leader="none" w:pos="1440" w:val="left"/>
          <w:tab w:leader="none" w:pos="25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403</w:t>
        <w:tab/>
        <w:t>$</w:t>
      </w:r>
      <w:r>
        <w:rPr>
          <w:sz w:val="20"/>
          <w:szCs w:val="20"/>
          <w:color w:val="auto"/>
        </w:rPr>
        <w:tab/>
      </w:r>
      <w:r>
        <w:rPr>
          <w:rFonts w:ascii="Times New Roman" w:cs="Times New Roman" w:eastAsia="Times New Roman" w:hAnsi="Times New Roman"/>
          <w:sz w:val="14"/>
          <w:szCs w:val="14"/>
          <w:color w:val="auto"/>
        </w:rPr>
        <w:t>379</w:t>
      </w:r>
    </w:p>
    <w:p>
      <w:pPr>
        <w:spacing w:after="0" w:line="69" w:lineRule="exact"/>
        <w:rPr>
          <w:sz w:val="20"/>
          <w:szCs w:val="20"/>
          <w:color w:val="auto"/>
        </w:rPr>
      </w:pPr>
    </w:p>
    <w:p>
      <w:pPr>
        <w:ind w:left="2600" w:hanging="1453"/>
        <w:spacing w:after="0"/>
        <w:tabs>
          <w:tab w:leader="none" w:pos="2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w:t>
      </w:r>
    </w:p>
    <w:p>
      <w:pPr>
        <w:spacing w:after="0" w:line="69" w:lineRule="exact"/>
        <w:rPr>
          <w:sz w:val="20"/>
          <w:szCs w:val="20"/>
          <w:color w:val="auto"/>
        </w:rPr>
      </w:pPr>
    </w:p>
    <w:p>
      <w:pPr>
        <w:ind w:left="2540" w:hanging="1465"/>
        <w:spacing w:after="0"/>
        <w:tabs>
          <w:tab w:leader="none" w:pos="25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(45)</w:t>
      </w:r>
    </w:p>
    <w:p>
      <w:pPr>
        <w:spacing w:after="0" w:line="69" w:lineRule="exact"/>
        <w:rPr>
          <w:sz w:val="20"/>
          <w:szCs w:val="20"/>
          <w:color w:val="auto"/>
        </w:rPr>
      </w:pPr>
    </w:p>
    <w:p>
      <w:pPr>
        <w:ind w:left="1200"/>
        <w:spacing w:after="0"/>
        <w:tabs>
          <w:tab w:leader="none" w:pos="2640" w:val="left"/>
        </w:tabs>
        <w:rPr>
          <w:sz w:val="20"/>
          <w:szCs w:val="20"/>
          <w:color w:val="auto"/>
        </w:rPr>
      </w:pPr>
      <w:r>
        <w:rPr>
          <w:rFonts w:ascii="Times New Roman" w:cs="Times New Roman" w:eastAsia="Times New Roman" w:hAnsi="Times New Roman"/>
          <w:sz w:val="14"/>
          <w:szCs w:val="14"/>
          <w:color w:val="auto"/>
        </w:rPr>
        <w:t>8</w:t>
      </w:r>
      <w:r>
        <w:rPr>
          <w:sz w:val="20"/>
          <w:szCs w:val="20"/>
          <w:color w:val="auto"/>
        </w:rPr>
        <w:tab/>
      </w:r>
      <w:r>
        <w:rPr>
          <w:rFonts w:ascii="Times New Roman" w:cs="Times New Roman" w:eastAsia="Times New Roman" w:hAnsi="Times New Roman"/>
          <w:sz w:val="14"/>
          <w:szCs w:val="14"/>
          <w:color w:val="auto"/>
        </w:rPr>
        <w:t>7</w:t>
      </w:r>
    </w:p>
    <w:p>
      <w:pPr>
        <w:spacing w:after="0" w:line="96" w:lineRule="exact"/>
        <w:rPr>
          <w:sz w:val="20"/>
          <w:szCs w:val="20"/>
          <w:color w:val="auto"/>
        </w:rPr>
      </w:pPr>
    </w:p>
    <w:p>
      <w:pPr>
        <w:spacing w:after="0"/>
        <w:tabs>
          <w:tab w:leader="none" w:pos="1040" w:val="left"/>
          <w:tab w:leader="none" w:pos="1440" w:val="left"/>
          <w:tab w:leader="none" w:pos="25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385</w:t>
        <w:tab/>
        <w:t>$</w:t>
      </w:r>
      <w:r>
        <w:rPr>
          <w:sz w:val="20"/>
          <w:szCs w:val="20"/>
          <w:color w:val="auto"/>
        </w:rPr>
        <w:tab/>
      </w:r>
      <w:r>
        <w:rPr>
          <w:rFonts w:ascii="Times New Roman" w:cs="Times New Roman" w:eastAsia="Times New Roman" w:hAnsi="Times New Roman"/>
          <w:sz w:val="14"/>
          <w:szCs w:val="14"/>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66675</wp:posOffset>
            </wp:positionV>
            <wp:extent cx="17913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20" w:space="720"/>
            <w:col w:w="2800"/>
          </w:cols>
          <w:pgMar w:left="320" w:top="122" w:right="339" w:bottom="1440" w:gutter="0" w:footer="0" w:header="0"/>
          <w:type w:val="continuous"/>
        </w:sectPr>
      </w:pPr>
    </w:p>
    <w:p>
      <w:pPr>
        <w:spacing w:after="0" w:line="166" w:lineRule="exact"/>
        <w:rPr>
          <w:sz w:val="20"/>
          <w:szCs w:val="20"/>
          <w:color w:val="auto"/>
        </w:rPr>
      </w:pPr>
    </w:p>
    <w:p>
      <w:pPr>
        <w:ind w:left="400" w:hanging="392"/>
        <w:spacing w:after="0"/>
        <w:tabs>
          <w:tab w:leader="none" w:pos="4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weighted-average interest rates on debt principal outstanding during the first quarters of 2026 and 2025 were 4.71% and 4.70%, respectively.</w:t>
      </w:r>
    </w:p>
    <w:p>
      <w:pPr>
        <w:spacing w:after="0" w:line="17" w:lineRule="exact"/>
        <w:rPr>
          <w:rFonts w:ascii="Times New Roman" w:cs="Times New Roman" w:eastAsia="Times New Roman" w:hAnsi="Times New Roman"/>
          <w:sz w:val="14"/>
          <w:szCs w:val="14"/>
          <w:color w:val="auto"/>
        </w:rPr>
      </w:pPr>
    </w:p>
    <w:p>
      <w:pPr>
        <w:jc w:val="both"/>
        <w:ind w:left="420" w:hanging="412"/>
        <w:spacing w:after="0" w:line="267" w:lineRule="auto"/>
        <w:tabs>
          <w:tab w:leader="none" w:pos="412"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capitalize interest costs incurred on funds used to construct property, plant and equipment while the asset is in its construction phase. Capitalized interest amounts become part of the historical cost of an asset and are charged to earnings (as a component of depreciation expense) on a straight-line basis over the estimated useful life of the asset once the asset enters its intended service. When capitalized interest is recorded, it reduces interest expense from what it would be otherwise. Capitalized interest amounts fluctuate based on the timing of when projects are placed into service, our capital investment levels and the interest rates charged on borrowings.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charged on debt principal outstanding, which is a key driver of interest expense, increased a net $24 million quarter-to-quarter. This increase was primarily due to the issuance of $2.0 billion and $1.65 billion of fixed-rate senior notes in June 2025 and November 2025, respectively, which accounted for a combined increase of $44 million quarter-to-quarter, partially offset by the retirement of $1.15 billion, $750 million and $875 million of fixed-rate senior notes in February 2025, January 2026 and February 2026, respectively, which accounted for a combined decrease of $18 million quarter-to-quarter.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debt obligations, see Note 7 of the Notes to Unaudited Condensed Consolidated Financial Statements included under Part I, Item 1 of this quarterly report. For a discussion of our capital projects, 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 Item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reported under four business segments: (i) NGL Pipelines &amp; Services, (ii) Crude Oil Pipelines &amp; Services, (iii) Natural Gas Pipelines &amp; Services and (iv) Petrochemical &amp; Refined Products Services. Our business segments are generally organized and managed according to the types of services rendered (or technologies employed) and products produced and/or sold.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evaluate segment performance based on our financial measure of gross operating margin. Gross operating margin is an important performance measure of the core profitability of our operations and forms the basis of our internal financial reporting. We believe that investors benefit from having access to the same financial measures that our management uses in evaluating segment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gross operating margin by segment and total gross operating margin, a non-generally accepted accounting principle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financial measure, for the periods indicated (dollars in millions):</w:t>
      </w:r>
    </w:p>
    <w:p>
      <w:pPr>
        <w:spacing w:after="0" w:line="25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Gross operating margin by segment:</w:t>
            </w: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NGL Pipelines &amp; Services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Crude Oil Pipelines &amp; Services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Natural Gas Pipelines &amp; Services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0" w:type="dxa"/>
            <w:vAlign w:val="bottom"/>
          </w:tcPr>
          <w:p>
            <w:pPr>
              <w:spacing w:after="0"/>
              <w:rPr>
                <w:sz w:val="1"/>
                <w:szCs w:val="1"/>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Petrochemical &amp; Refined Products Services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segment gross operating margin (1)</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w:t>
            </w:r>
          </w:p>
        </w:tc>
        <w:tc>
          <w:tcPr>
            <w:tcW w:w="0" w:type="dxa"/>
            <w:vAlign w:val="bottom"/>
          </w:tcPr>
          <w:p>
            <w:pPr>
              <w:spacing w:after="0"/>
              <w:rPr>
                <w:sz w:val="1"/>
                <w:szCs w:val="1"/>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adjustment for shipper make-up rights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20" w:hanging="412"/>
        <w:spacing w:after="0" w:line="282" w:lineRule="auto"/>
        <w:tabs>
          <w:tab w:leader="none" w:pos="41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the context of this table, total segment gross operating margin represents a subtotal and corresponds to measures similarly titled within our business segment disclosures found under Note 10 of the Notes to Unaudited Condensed Consolidated Financial Statements included under Part I, Item 1 of this quarterly report.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includes equity in the earnings of unconsolidated affiliates, but is exclusive of other income and expense transactions, income taxes, the cumulative effect of changes in accounting principles and extraordinary charges. Gross operating margin is presented on a 100% basis before any allocation of earnings to noncontrolling interests. Our calculation of gross operating margin may or may not be comparable to similarly titled measures used by other companies. Segment gross operating margin for NGL Pipelines &amp; Services and Crude Oil Pipelines &amp; Services reflect adjustments for shipper make-up rights that are included in management’s evaluation of segment results. However, these adjustments are excluded from non-GAAP total gross operating margin.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GAAP financial measure most directly comparable to total gross operating margin is operating income. For a discussion of operating income and its components, see the previous section titled “</w:t>
      </w:r>
      <w:r>
        <w:rPr>
          <w:rFonts w:ascii="Times New Roman" w:cs="Times New Roman" w:eastAsia="Times New Roman" w:hAnsi="Times New Roman"/>
          <w:sz w:val="18"/>
          <w:szCs w:val="18"/>
          <w:i w:val="1"/>
          <w:iCs w:val="1"/>
          <w:color w:val="auto"/>
        </w:rPr>
        <w:t>Income Statement Highlights</w:t>
      </w:r>
      <w:r>
        <w:rPr>
          <w:rFonts w:ascii="Times New Roman" w:cs="Times New Roman" w:eastAsia="Times New Roman" w:hAnsi="Times New Roman"/>
          <w:sz w:val="18"/>
          <w:szCs w:val="18"/>
          <w:color w:val="auto"/>
        </w:rPr>
        <w:t>” within this Part I, Item 2. The following table presents a reconciliation of operating income to total gross operating margin for the periods indicated (dollars in millions):</w:t>
      </w:r>
    </w:p>
    <w:p>
      <w:pPr>
        <w:spacing w:after="0" w:line="22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1,761</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operating income to total gross operating margin (addition or subtraction indicated by sign):</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 expense in operating costs and expenses (1)</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602</w:t>
            </w:r>
          </w:p>
        </w:tc>
      </w:tr>
      <w:tr>
        <w:trPr>
          <w:trHeight w:val="193"/>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Asset impairment charges in operating costs and expenses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losses (gains) attributable to asset sales and related matters in operating costs and expenses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 costs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0"/>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gross operating margin (non-GAAP)</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61"/>
        </w:trPr>
        <w:tc>
          <w:tcPr>
            <w:tcW w:w="8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bl>
    <w:p>
      <w:pPr>
        <w:spacing w:after="0" w:line="72" w:lineRule="exact"/>
        <w:rPr>
          <w:sz w:val="20"/>
          <w:szCs w:val="20"/>
          <w:color w:val="auto"/>
        </w:rPr>
      </w:pPr>
    </w:p>
    <w:p>
      <w:pPr>
        <w:ind w:left="400" w:hanging="392"/>
        <w:spacing w:after="0"/>
        <w:tabs>
          <w:tab w:leader="none" w:pos="4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amortization of major maintenance costs for reaction-based plants and amortization of finance lease right-of-use assets, which are components of gross operating margin.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our business segments benefits from the supporting role of our marketing activities. The main purpose of our marketing activities is to support the utilization and expansion of assets across our midstream energy asset network by increasing the volumes handled by such assets, which results in additional fee-based earnings for each business segment. In performing these support roles, our marketing activities also seek to participate in supply and demand opportunities as a supplemental source of gross operating margin for us. The financial results of our marketing efforts fluctuate due to changes in volumes handled and overall market conditions, which are influenced by current and forward market prices for the products bought and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NGL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NGL Pipelines &amp; Services segment for the periods indicated (dollars in millions, volumes as noted):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Natural gas processing and related NGL marketing activities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NGL pipelines, storage and terminals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2"/>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NGL fractionation</w:t>
            </w: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224"/>
        </w:trPr>
        <w:tc>
          <w:tcPr>
            <w:tcW w:w="818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w:t>
            </w:r>
          </w:p>
        </w:tc>
        <w:tc>
          <w:tcPr>
            <w:tcW w:w="10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Selected volumetric data:</w:t>
            </w: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NGL pipeline transportation volumes (MBPD)</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NGL marine terminal volumes (MBPD)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NGL fractionation volumes (MBPD)</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Equity NGL-equivalent production volumes (MBPD) (1)</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Fee-based natural gas processing volumes (MMcf/d) (2,3)</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7,181</w:t>
            </w:r>
          </w:p>
        </w:tc>
        <w:tc>
          <w:tcPr>
            <w:tcW w:w="0" w:type="dxa"/>
            <w:vAlign w:val="bottom"/>
          </w:tcPr>
          <w:p>
            <w:pPr>
              <w:spacing w:after="0"/>
              <w:rPr>
                <w:sz w:val="1"/>
                <w:szCs w:val="1"/>
                <w:color w:val="auto"/>
              </w:rPr>
            </w:pPr>
          </w:p>
        </w:tc>
      </w:tr>
      <w:tr>
        <w:trPr>
          <w:trHeight w:val="37"/>
        </w:trPr>
        <w:tc>
          <w:tcPr>
            <w:tcW w:w="8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ind w:left="420" w:hanging="412"/>
        <w:spacing w:after="0" w:line="261" w:lineRule="auto"/>
        <w:tabs>
          <w:tab w:leader="none" w:pos="41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represents the NGL and condensate volumes we earn and take title to in connection with our processing activities. The total equity NGL-equivalent production volumes also include residue natural gas volumes from our natural gas processing business.</w:t>
      </w:r>
    </w:p>
    <w:p>
      <w:pPr>
        <w:ind w:left="400" w:hanging="392"/>
        <w:spacing w:after="0"/>
        <w:tabs>
          <w:tab w:leader="none" w:pos="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Volumes reported correspond to the revenue streams earned by our natural gas processing plants.</w:t>
      </w:r>
    </w:p>
    <w:p>
      <w:pPr>
        <w:spacing w:after="0" w:line="14"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Fee-based natural gas processing volumes are measured at either the wellhead or plant inlet in MMcf/d.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processing and related NGL marketing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natural gas processing and related NGL marketing activities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2026 increased $42 million when compared to the first quarter of 2025.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Midland Basin natural gas processing facilities increased $25 million quarter-to-quarter primarily due to higher average processing margins (including the impact of hedging activities), which accounted for a $15 million increase, an 11 MBPD increase in equity NGL-equivalent production volumes, which accounted for a $7 million increase, and higher average processing fees, which accounted for an additional $4 million increase. Fee-based natural gas processing volumes at our Midland Basin natural gas processing facilities increased 31 MMcf/d quarter-to-quarter.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Delaware Basin natural gas processing facilities increased a net $22 million quarter-to-quarter primarily due to higher average processing margins (including the impact of hedging activities), which accounted for a $35 million increase, and higher fee-based natural gas processing volumes, which accounted for a $12 million increase, partially offset by a 10 MBPD decrease in equity NGL-equivalent production volumes, which accounted for an $18 million decrease, and higher operating costs, which accounted for an additional $7 million decrease. Fee-based natural gas processing volumes at our Delaware Basin natural gas processing facilities increased 242 MMcf/d quarter-to-quarter.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NGL marketing activities increased a net $10 million quarter-to-quarter primarily due to higher sales volumes, which accounted for a $20 million increase, partially offset by lower average sales margins, which accounted for a $5 million decrease, and lower mark-to-market earnings, which accounted for an additional $4 million decrease.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our Rockies natural gas processing facilities (Meeker, Pioneer and Chaco) decreased a combined $8 million quarter-to-quarter primarily due to lower average processing fees, which accounted for a $4 million decrease, and lower average processing margins (including the impact of hedging activities), which accounted for an additional $2 million decrease. On a combined basis, fee-based natural gas processing volumes and equity NGL-equivalent production volumes decreased 69 MMcf/d and increased 8 MBPD, respectively, quarter-to-quarter.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South Texas natural gas processing facilities decreased $5 million quarter-to-quarter primarily due to higher operating costs. Fee-based natural gas processing volumes and equity NGL-equivalent production volumes decreased 12 MMcf/d and increased 3 MBPD, respectively, quarter-to-quarter.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pipelines, storage and terminals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our NGL pipelines, storage and terminal assets during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increased $1 million when compared to the first quarter of 2025.</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number of our pipelines, including the Mid-America Pipeline System, Seminole NGL Pipeline, Chaparral Pipeline, Shin Oak NGL Pipeline and Bahia NGL Pipeline, serve Permian Basin and/or Rocky Mountain producers. On a combined basis, gross operating margin from these pipelines increased $22 million quarter-to-quarter primarily due to an increase in transportation volumes.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operating margin from our Mont Belvieu area storage complex increased $11 million quarter-to-quarter primarily due to higher storage revenues.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at our Morgan’s Point and Neches River Export Terminals increased a combined net $6 million quarter-to-quarter primarily due to an increase in ethane export volumes, which accounted for a $23 million increase, and higher other fee revenues, which accounted for an additional $3 million increase, partially offset by lower average loading fees, which accounted for a $10 million decrease, and higher operating costs, which accounted for an additional $10 million decrease. Ethane export volumes at these terminals increased a combined 104 MBPD quarter-to-quarter primarily due to contributions from the first phase of our Neches River export facility, which was placed into service in July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LPG-related activities at our Enterprise Hydrocarbons Terminal (“EHT”) decreased $42 million quarter-to-quarter primarily due to lower average loading fees. LPG export volumes at EHT decreased 1 MBPD quarter-to-quarter.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fractionation</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NGL fractionation during the first quarter of 2026 increased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when compared to the first quarter of 2025.</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operating margin from our Mont Belvieu area NGL fractionation complex increased a net $33 million quarter-to-quarter primarily due to higher fractionation volumes, which accounted for a $46 million increase, and higher average fractionation fees (including the impact of hedging activities), which accounted for an additional $25 million increase, partially offset by higher operating costs, which accounted for a $29 million decrease, and lower ancillary service revenues, which accounted for an additional $9 million decrease. NGL fractionation volumes at our Mont Belvieu area NGL fractionation complex increased 220 MBPD quarter-to-quarter primarily due to contributions from Frac 14, which was placed into service during the fourth quarter of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Crude Oil Pipelines &amp; Services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Crude Oil Pipelines &amp; Services segment for the periods indicated (dollars in millions, volumes as noted):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r>
      <w:tr>
        <w:trPr>
          <w:trHeight w:val="216"/>
        </w:trPr>
        <w:tc>
          <w:tcPr>
            <w:tcW w:w="8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Selected volumetric data:</w:t>
            </w:r>
          </w:p>
        </w:tc>
        <w:tc>
          <w:tcPr>
            <w:tcW w:w="10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2"/>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Crude oil pipeline transportation volumes (MBPD)</w:t>
            </w:r>
          </w:p>
        </w:tc>
        <w:tc>
          <w:tcPr>
            <w:tcW w:w="10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2,484</w:t>
            </w:r>
          </w:p>
        </w:tc>
      </w:tr>
      <w:tr>
        <w:trPr>
          <w:trHeight w:val="37"/>
        </w:trPr>
        <w:tc>
          <w:tcPr>
            <w:tcW w:w="81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9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Crude oil marine terminal volumes (MBPD)</w:t>
            </w:r>
          </w:p>
        </w:tc>
        <w:tc>
          <w:tcPr>
            <w:tcW w:w="10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37"/>
        </w:trPr>
        <w:tc>
          <w:tcPr>
            <w:tcW w:w="81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our Crude Oil Pipelines &amp; Services segment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decreased $45 million when compared to the first quarter of 2025.</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operating margin from our Texas crude oil pipelines, related terminals and marketing activities (excluding the Seaway Pipeline) decreased a combined net $46 million quarter-to-quarter primarily due to lower average sales margins from marketing activities, which accounted for a $34 million decrease, lower transportation and related revenues, which accounted for a $24 million decrease and largely attributable to lower average transportation fees from our equity investment in the Eagle Ford Crude Oil Pipeline, and lower mark-to-market earnings, which accounted for an additional $11 million decrease, partially offset by higher sales volumes from marketing activities, which accounted for a $23 million increase. Crude oil transportation volumes on these pipelines increased a combined 83 MBPD (net to our interest) quarter-to-quarter.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operating margin from crude oil activities at EHT decreased a net $2 million quarter-to-quarter primarily due to higher operating costs, which accounted for an $11 million decrease, and lower storage revenues, which accounted for an additional $5 million decrease, partially offset by higher loading and other revenues, which accounted for a $14 million increase. Crude oil marine terminal volumes at EHT increased 113 MBPD quarter-to-quarter.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Natural Gas Pipelines &amp;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Natural Gas Pipelines &amp; Services segment for the periods indicated (dollars in millions, volumes as noted):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1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216"/>
        </w:trPr>
        <w:tc>
          <w:tcPr>
            <w:tcW w:w="8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Selected volumetric data:</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Natural gas pipeline transportation volumes (BBtus/d)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20,310</w:t>
            </w:r>
          </w:p>
        </w:tc>
      </w:tr>
    </w:tbl>
    <w:p>
      <w:pPr>
        <w:spacing w:after="0" w:line="3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our Natural Gas Pipelines &amp; Services segment for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2026 increased $139 million when compared to the first quarter of 2025.</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natural gas marketing activities increased a net $111 million quarter-to-quarter primarily due to higher average sales margins, which accounted for a $134 million increase, partially offset by lower mark-to-market earnings, which accounted for a $23 million decrease.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Texas Intrastate System increased $15 million quarter-to-quarter primarily due to higher capacity reservation fees and other revenues, which accounted for a $9 million increase, and a 388 BBtus/d increase in transportation volumes, which accounted for an additional $5 million increase.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Acadian Gas System and Haynesville Gathering System increased a combined $8 million quarter-to-quarter primarily due to a 269 BBtus/d increase in transportation volumes.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Midland Basin Gathering System increased a net $7 million quarter-to-quarter primarily due to a 157 BBtus/d increase in natural gas gathering volumes, which accounted for a $6 million increase, and higher other revenues, which accounted for a $6 million increase, partially offset by higher operating costs, which accounted for a $5 million decrease.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Delaware Basin Gathering System increased a net $1 million quarter-to-quarter primarily due to a 396 BBtus/d increase in natural gas gathering volumes, which accounted for a $6 million increase, partially offset by higher operating costs, which accounted for a $5 million decrease.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operating margin from our East Texas Gathering System decreased $4 million quarter-to-quarter primarily due to a 298 BBtus/d decrease in gathering volumes.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Petrochemical &amp; Refined Products Services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segment gross operating margin and selected volumetric data for the Petrochemical &amp; Refined Products Services segment for the periods indicated (dollars in millions, volumes as noted):</w:t>
      </w:r>
    </w:p>
    <w:p>
      <w:pPr>
        <w:spacing w:after="0" w:line="20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Segment gross operating margin:</w:t>
            </w: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Propylene production and related activities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Butane isomerization and related operations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Octane enhancement and related plant operations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Refined products pipelines and related activities</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Ethylene exports and related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6"/>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Marine transportation and other services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30"/>
        </w:trPr>
        <w:tc>
          <w:tcPr>
            <w:tcW w:w="81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Total</w:t>
            </w:r>
          </w:p>
        </w:tc>
        <w:tc>
          <w:tcPr>
            <w:tcW w:w="980" w:type="dxa"/>
            <w:vAlign w:val="bottom"/>
            <w:tcBorders>
              <w:bottom w:val="single" w:sz="8" w:color="auto"/>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Selected volumetric data:</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Propylene production volumes (MBPD)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Butane isomerization volumes (MBPD)</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Standalone deisobutanizer (“DIB”) processing volumes (MBPD)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Octane enhancement and related plant sales volumes (MBPD) (1)</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3"/>
        </w:trPr>
        <w:tc>
          <w:tcPr>
            <w:tcW w:w="81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Pipeline transportation volumes, primarily refined products and petrochemicals (MBPD)</w:t>
            </w:r>
          </w:p>
        </w:tc>
        <w:tc>
          <w:tcPr>
            <w:tcW w:w="9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8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Marine terminal volumes, primarily refined products and petrochemicals (MBPD)</w:t>
            </w:r>
          </w:p>
        </w:tc>
        <w:tc>
          <w:tcPr>
            <w:tcW w:w="9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37"/>
        </w:trPr>
        <w:tc>
          <w:tcPr>
            <w:tcW w:w="81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0"/>
          <w:szCs w:val="20"/>
          <w:color w:val="auto"/>
        </w:rPr>
      </w:pPr>
    </w:p>
    <w:p>
      <w:pPr>
        <w:ind w:left="420" w:hanging="412"/>
        <w:spacing w:after="0" w:line="282" w:lineRule="auto"/>
        <w:tabs>
          <w:tab w:leader="none" w:pos="41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sales volumes for our octane enhancement and iBDH facilities located at our Mont Belvieu area complex and our HPIB facility located adjacent to the Houston Ship Channel.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Propylene production and related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propylene production and related activities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increased $67 million when compared to the first quarter of 2025.</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combined basis, gross operating margin from our Mont Belvieu area propylene production facilities increased a net $62 million quarter-to-quarter primarily due to higher average propylene sales margins, which accounted for a $52 million increase, and higher propylene sales volumes, which accounted for an additional $30 million increase, partially offset by lower other revenues, which accounted for a $17 million decrease. Propylene and associated by-product production volumes at these facilities increased a combined 8 MBPD quarter-to-quarter.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Butane isomerization and related operations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butane isomerization and related operations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increased $2 million when compared to the first quarter of 2025 primarily due to higher average sales margins and a 38 MBPD increase in isomerization and related DIB processing volumes.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Octane enhancement and related plant operations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our octane enhancement and related plant operations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2026 decreased $46 million when compared to the first quarter of 2025 primarily due to lower sales volumes, which accounted for a $30 million decrease, and lower mark-to-market earnings, which accounted for an additional $13 million decrease. The quarter-to-quarter decrease in sales volumes at these facilities was primarily due to planned major maintenance activities at our octane enhancement plant during the first quarter of 2026, which were completed in April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Refined products pipelines and related activities</w:t>
      </w:r>
    </w:p>
    <w:p>
      <w:pPr>
        <w:spacing w:after="0" w:line="2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refined products pipelines and related activities for the first quarter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2026 decreased $36 million when compared to the first quarter of 2025.</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refined products marketing activities decreased $35 million quarter-to-quarter primarily due to lower average sales margins, which accounted for a $24 million decrease, and lower non-cash, mark-to-market earnings, which accounted for an additional $11 million decrease.</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TE Products Pipeline System decreased a net $9 million quarter-to-quarter primarily due to higher operating costs, which accounted for an $8 million decrease, and lower other revenues, which accounted for an additional $3 million decrease, partially offset by a 112 MBPD increase in transportation volumes, which accounted for a $3 million increase.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operating margin from our refined products terminal in Beaumont, Texas increased $4 million quarter-to-quarter primarily due to higher storage and other fee revenues, which accounted for a $3 million increase, and lower operating expenses, which accounted for an additional $2 million increase. Refined products marine terminal volumes at Beaumont increased 34 MBPD quarter-to-quarter.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Ethylene exports and related activities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ethylene exports and related activities for the first quarter of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a net $16 million when compared to the first quarter of 2025 primarily due to a 41 MBPD increase in ethylene export volumes, which accounted for an $18 million increase, a 51 MBPD increase in transportation volumes, which accounted for an additional $4 million increase, partially offset by higher operating costs, which accounted for a $7 million decrease.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Marine transportation and other services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First Quarter of 2026 Compared to First Quarter of 2025</w:t>
      </w:r>
      <w:r>
        <w:rPr>
          <w:rFonts w:ascii="Times New Roman" w:cs="Times New Roman" w:eastAsia="Times New Roman" w:hAnsi="Times New Roman"/>
          <w:sz w:val="18"/>
          <w:szCs w:val="18"/>
          <w:color w:val="auto"/>
        </w:rPr>
        <w:t>. Gross operating margin from marine transportation and other services for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2026 decreased $4 million when compared to the first quarter of 2025 primarily due to higher operating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market conditions (as of the filing date of this quarterly report), we believe that the Partnership and its consolidated businesses will have sufficient liquidity, cash flow from operations and access to capital markets to fund their capital investments and working capital needs for the reasonably foreseeable future. At March 31, 2026, we had $3.3 billion of consolidated liquidity. This amount was comprised of $191 million of unrestricted cash on hand and $3.1 billion of available borrowing capacity under EPO’s revolving credit facilities, which is the net of $4.2 billion of total borrowing capacity under EPO’s revolving credit facilities and $1.1 billion outstanding under EPO’s commercial paper program.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debt and equity securities to assist us in meeting our future funding and liquidity requirements, including those related to capital investments. We have a universal shelf registration statement on file with the SEC that allows the Partnership and EPO to issue an unlimited amount of equity and debt securities, respectively. In addition, we have a registration statement on file with the SEC covering the issuance of up to $2.5 billion of the Partnership’s common units in amounts, at prices and on terms based on market conditions and other factors at the time of such offerings (referred to as the Partnership’s at-the-market (“ATM”)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Declares Cash Distribution for First Quarter of 2026</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9, 2026, we announced that the Board declared a quarterly cash distribution of $0.55 per common unit, or $2.20 per common unit on an annualized basis, to be paid to the Partnership’s common unitholders with respect to the first quarter of 2026. The quarterly distribution is payable on May 14, 2026 to unitholders of record as of the close of business on April 30, 2026. The total amount to be paid is $1.2 billion, which includes $12 million for distribution equivalent rights on phantom unit awards.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payment of quarterly cash distributions is subject to management’s evaluation of our financial condition, results of operations and cash flows in connection with such payments and Board approval. Management will evaluate any future increases in cash distributions on a quarterly basis.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2026, the average maturity of EPO’s consolidated debt obligations was approximately 16.9 years. The following table presents the scheduled maturities of principal amounts of EPO’s consolidated debt obligations at March 31, 2026 for the years indicated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Scheduled Maturities of Debt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44"/>
        </w:trPr>
        <w:tc>
          <w:tcPr>
            <w:tcW w:w="2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78"/>
        </w:trPr>
        <w:tc>
          <w:tcPr>
            <w:tcW w:w="2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0"/>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260" w:type="dxa"/>
            <w:vAlign w:val="bottom"/>
          </w:tcPr>
          <w:p>
            <w:pPr>
              <w:spacing w:after="0"/>
              <w:rPr>
                <w:sz w:val="16"/>
                <w:szCs w:val="16"/>
                <w:color w:val="auto"/>
              </w:rPr>
            </w:pPr>
          </w:p>
        </w:tc>
        <w:tc>
          <w:tcPr>
            <w:tcW w:w="8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44"/>
        </w:trPr>
        <w:tc>
          <w:tcPr>
            <w:tcW w:w="27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9"/>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Paper Notes</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24,925</w:t>
            </w:r>
          </w:p>
        </w:tc>
      </w:tr>
      <w:tr>
        <w:trPr>
          <w:trHeight w:val="37"/>
        </w:trPr>
        <w:tc>
          <w:tcPr>
            <w:tcW w:w="2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42"/>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Junior Subordinated Notes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r>
      <w:tr>
        <w:trPr>
          <w:trHeight w:val="224"/>
        </w:trPr>
        <w:tc>
          <w:tcPr>
            <w:tcW w:w="2740" w:type="dxa"/>
            <w:vAlign w:val="bottom"/>
            <w:tcBorders>
              <w:top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34,222</w:t>
            </w: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1,800</w:t>
            </w: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1,250</w:t>
            </w:r>
          </w:p>
        </w:tc>
        <w:tc>
          <w:tcPr>
            <w:tcW w:w="8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27,207</w:t>
            </w:r>
          </w:p>
        </w:tc>
      </w:tr>
      <w:tr>
        <w:trPr>
          <w:trHeight w:val="26"/>
        </w:trPr>
        <w:tc>
          <w:tcPr>
            <w:tcW w:w="2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2026, EPO entered into a new 364-Day Revolving Credit Agreement (the “March 2026 $1.5 Billion 364-Day Revolving Credit Agreement”) that replaced its prior 364-day revolving credit agreement. The March 2026 $1.5 Billion 364-Day Revolving Credit Agreement matures in March 2027. EPO’s borrowing capacity was unchanged from the prior 364-day revolving credit agreement. As of March 31, 2026, there are no principal amounts outstanding under this new revolving credit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consolidated debt obligations, see Note 7 of the Notes to Unaudited Condensed Consolidated Financial Statements included under Part I, Item 1 of this quarterly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May 7, 2026, the investment-grade credit ratings of EPO’s long-term senior unsecured debt securities were A- from Standard and Poor’s, A3 from Moody’s and A- from Fitch Ratings. In addition, the credit ratings of EPO’s short-term senior unsecured debt securities were A-2 from Standard and Poor’s, P-2 from Moody’s and F-2 from Fitch Ratings. EPO’s credit ratings reflect only the view of a rating agency and should not be interpreted as a recommendation to buy, sell or hold any of our securities. A credit rating can be revised upward or downward or withdrawn at any time by a rating agency, if it determines that circumstances warrant such a change. A credit rating from one rating agency should be evaluated independently of credit ratings from other rating agencies.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 Repurchases Under 2019 Buyback Program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2019, we announced that the Board had approved a $2.0 billion multi-year unit buyback program (the “2019 Buyback Program”), which provides the Partnership with an additional method to return capital to investors. In October 2025, we announced that the Board approved an increase to the authorized maximum aggregate purchase price (excluding fees, commissions and other ancillary expenses) of the Partnership’s common units that may be repurchased under the 2019 Buyback Program from $2.0 billion to $5.0 billion. The Partnership repurchased 3,124,192 common units during the three months ended March 31, 2026. The total cost of these repurchases, including commissions and fees was $116 million. As of March 31, 2026, the remaining available capacity under the 2019 Buyback Program was $3.4 billion.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Statement Highlights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cash flows from operating, investing and financing activities for the periods indicated (dollars in millions).</w:t>
      </w:r>
    </w:p>
    <w:p>
      <w:pPr>
        <w:spacing w:after="0" w:line="218"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26035</wp:posOffset>
            </wp:positionV>
            <wp:extent cx="19456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w:t>
            </w:r>
          </w:p>
        </w:tc>
        <w:tc>
          <w:tcPr>
            <w:tcW w:w="1000" w:type="dxa"/>
            <w:vAlign w:val="bottom"/>
            <w:tcBorders>
              <w:bottom w:val="single" w:sz="8" w:color="CCEEFF"/>
            </w:tcBorders>
            <w:shd w:val="clear" w:color="auto" w:fill="CCEEFF"/>
          </w:tcPr>
          <w:p>
            <w:pPr>
              <w:jc w:val="right"/>
              <w:ind w:right="844"/>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flow used in investing activities</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r>
      <w:tr>
        <w:trPr>
          <w:trHeight w:val="37"/>
        </w:trPr>
        <w:tc>
          <w:tcPr>
            <w:tcW w:w="8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9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 used in financing activities</w:t>
            </w:r>
          </w:p>
        </w:tc>
        <w:tc>
          <w:tcPr>
            <w:tcW w:w="10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1,651</w:t>
            </w:r>
          </w:p>
        </w:tc>
      </w:tr>
      <w:tr>
        <w:trPr>
          <w:trHeight w:val="37"/>
        </w:trPr>
        <w:tc>
          <w:tcPr>
            <w:tcW w:w="81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flow provided by operating activities are largely dependent on earnings from our consolidated business activities. Changes in energy commodity prices may impact the demand for natural gas, NGLs, crude oil, petrochemicals and refined products, which could impact sales of our products and the demand for our midstream services. Changes in demand for our products and services may be caused by other factors, including prevailing economic conditions, reduced demand by consumers for the end products made with hydrocarbon products, increased competition, public health emergencies, adverse weather conditions and government regulations affecting prices and production levels. We may also incur credit and price risk to the extent customers do not fulfill their contractual obligations to us in connection with our marketing activities and long-term take-or-pay and dedication agreements. For a more complete discussion of these and other risk factors pertinent to our business,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included under Part I, Item 1A of the 2025 Form 10-K.</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cash flow amounts, please refer to the Unaudited Condensed Statements of Consolidated Cash Flows included under Part I, Item 1 of this quarterly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highlights significant quarter-to-quarter fluctuations in our consolidated cash flow amounts: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Operating activities</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Net cash flow provided by operating activities for the first quarter of 2026 decreased a net $845 million when compared to the first quarter of 2025 primarily due to:</w:t>
      </w:r>
    </w:p>
    <w:p>
      <w:pPr>
        <w:spacing w:after="0" w:line="181" w:lineRule="exact"/>
        <w:rPr>
          <w:sz w:val="20"/>
          <w:szCs w:val="20"/>
          <w:color w:val="auto"/>
        </w:rPr>
      </w:pPr>
    </w:p>
    <w:p>
      <w:pPr>
        <w:jc w:val="both"/>
        <w:ind w:left="500" w:right="20" w:hanging="330"/>
        <w:spacing w:after="0" w:line="266" w:lineRule="auto"/>
        <w:tabs>
          <w:tab w:leader="none" w:pos="4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$1.1 billion quarter-to-quarter decrease from changes in operating accounts primarily due to the use of working capital employed in our marketing activities, which includes the impact of (i) fluctuations in commodity prices, (ii) timing of our inventory purchase and sale strategies, and (iii) changes in margin deposit requirements associated with our commodity derivative instruments; partially offset by</w:t>
      </w:r>
    </w:p>
    <w:p>
      <w:pPr>
        <w:spacing w:after="0" w:line="175"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$232 million quarter-to-quarter increase resulting from higher partnership earnings (determined by adjusting our $90 million quarter-to-quarter increase in net income for changes in the non-cash items identified on our Unaudited Condensed Consolidated Statements of Consolidated Cash Flows).</w:t>
      </w:r>
    </w:p>
    <w:p>
      <w:pPr>
        <w:spacing w:after="0" w:line="17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For information regarding significant quarter-to-quarter changes in our consolidated net income and underlying segment results, see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Highlights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Business Segment Highlights</w:t>
      </w:r>
      <w:r>
        <w:rPr>
          <w:rFonts w:ascii="Times New Roman" w:cs="Times New Roman" w:eastAsia="Times New Roman" w:hAnsi="Times New Roman"/>
          <w:sz w:val="18"/>
          <w:szCs w:val="18"/>
          <w:color w:val="auto"/>
        </w:rPr>
        <w:t>” within this Part I, Item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Investing activities</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cash flow used in investing activities during the first quarter of 2026 decreased $666 million when compared to the first quarter of 2025 primarily due to:</w:t>
      </w:r>
    </w:p>
    <w:p>
      <w:pPr>
        <w:spacing w:after="0" w:line="181" w:lineRule="exact"/>
        <w:rPr>
          <w:sz w:val="20"/>
          <w:szCs w:val="20"/>
          <w:color w:val="auto"/>
        </w:rPr>
      </w:pPr>
    </w:p>
    <w:p>
      <w:pPr>
        <w:ind w:left="500" w:right="20" w:hanging="330"/>
        <w:spacing w:after="0" w:line="282" w:lineRule="auto"/>
        <w:tabs>
          <w:tab w:leader="none" w:pos="4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$592 million quarter-to-quarter increase in proceeds from asset sales and other matters primarily attributable to the $595 million second installment payment received in January 2026 related to the sale of a 40% undivided joint interest in the Bahia NGL Pipeline; and</w:t>
      </w:r>
    </w:p>
    <w:p>
      <w:pPr>
        <w:spacing w:after="0" w:line="159" w:lineRule="exact"/>
        <w:rPr>
          <w:rFonts w:ascii="Times New Roman" w:cs="Times New Roman" w:eastAsia="Times New Roman" w:hAnsi="Times New Roman"/>
          <w:sz w:val="18"/>
          <w:szCs w:val="18"/>
          <w:color w:val="auto"/>
        </w:rPr>
      </w:pPr>
    </w:p>
    <w:p>
      <w:pPr>
        <w:ind w:left="500" w:right="20" w:hanging="330"/>
        <w:spacing w:after="0" w:line="284" w:lineRule="auto"/>
        <w:tabs>
          <w:tab w:leader="none" w:pos="4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$79 million quarter-to-quarter decrease in investments for property, plant and equipment (see “</w:t>
      </w:r>
      <w:r>
        <w:rPr>
          <w:rFonts w:ascii="Times New Roman" w:cs="Times New Roman" w:eastAsia="Times New Roman" w:hAnsi="Times New Roman"/>
          <w:sz w:val="18"/>
          <w:szCs w:val="18"/>
          <w:i w:val="1"/>
          <w:iCs w:val="1"/>
          <w:color w:val="auto"/>
        </w:rPr>
        <w:t>Capital Investments</w:t>
      </w:r>
      <w:r>
        <w:rPr>
          <w:rFonts w:ascii="Times New Roman" w:cs="Times New Roman" w:eastAsia="Times New Roman" w:hAnsi="Times New Roman"/>
          <w:sz w:val="18"/>
          <w:szCs w:val="18"/>
          <w:color w:val="auto"/>
        </w:rPr>
        <w:t>” within this Part I, Item 2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p>
    <w:p>
      <w:pPr>
        <w:spacing w:after="0" w:line="2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cash flow used in financing activities during the first quarter of 2026 increased $288 million when compared to the first quarter of 2025 primarily due to:</w:t>
      </w:r>
    </w:p>
    <w:p>
      <w:pPr>
        <w:spacing w:after="0" w:line="181" w:lineRule="exact"/>
        <w:rPr>
          <w:sz w:val="20"/>
          <w:szCs w:val="20"/>
          <w:color w:val="auto"/>
        </w:rPr>
      </w:pPr>
    </w:p>
    <w:p>
      <w:pPr>
        <w:jc w:val="both"/>
        <w:ind w:left="500" w:hanging="330"/>
        <w:spacing w:after="0" w:line="258" w:lineRule="auto"/>
        <w:tabs>
          <w:tab w:leader="none" w:pos="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cash outflow of $489 million related to debt transactions that occurred during the first quarter of 2026 compared to a net cash outflow of $332 million related to debt transactions that occurred during the first quarter of 2025. During the first quarter of 2026, we repaid $1.63 billion aggregate principal amount of senior notes, partially offset by net issuances of $1.1 billion under EPO’s commercial paper program. During the first quarter of 2025, we repaid $1.15 billion aggregate principal amount of senior notes, partially offset by net issuances of $830 million under EPO’s commercial paper program;</w:t>
      </w:r>
    </w:p>
    <w:p>
      <w:pPr>
        <w:spacing w:after="0" w:line="18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 million quarter-to-quarter increase in the repurchase of common units under the 2019 Buyback Program; and</w:t>
      </w:r>
    </w:p>
    <w:p>
      <w:pPr>
        <w:spacing w:after="0" w:line="225"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quarter-to-quarter increase in cash distributions paid to common unitholders primarily attributable to increases in the quarterly cash distribution rate per unit.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Cash Flow Measures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Distributable Cash Flow and Operational Distributable Cash Flow</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partnership agreement requires us to make quarterly distributions to our common unitholders of all available cash, after any cash reserves established by Enterprise GP in its sole discretion. Cash reserves include those for the proper conduct of our business, including those for capital investments, debt service, working capital, operating expenses, common unit repurchases, commitments and contingencies and other amounts. The retention of cash allows us to reinvest in our growth and reduce our future reliance on the equity and debt capital markets.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measure available cash by reference to distributable cash flow (“DCF”), which is a non-GAAP cash flow measure. DCF is an important financial measure for our common unitholders since it serves as an indicator of our success in providing a cash return on investment. Specifically, this financial measure indicates to investors whether or not we are generating cash flows at a level that can sustain our declared quarterly cash distributions. DCF is also a quantitative standard used by the investment community with respect to publicly traded partnerships since the value of a partnership unit is, in part, measured by its yield, which is based on the amount of cash distributions a partnership can pay to a unitholder. Our management compares the DCF we generate to the cash distributions we expect to pay our common unitholders. Using this metric, management computes our distribution coverage ratio. Our calculation of DCF may or may not be comparable to similarly titled measures used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level of available cash each quarter, management proposes a quarterly cash distribution rate to the Board, which has sole authority in approving such matters. Enterprise GP has a non-economic ownership interest in the Partnership and is not entitled to receive any cash distributions from it based on incentive distribution rights or other equity interests.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distributable cash flow (“Operational DCF”), which is defined as DCF excluding the impact of proceeds from asset sales and other matters and monetization of interest rate derivative instruments, is a supplemental non-GAAP liquidity measure that quantifies the portion of cash available for distribution to common unitholders that was generated from our normal operations. We believe that it is important to consider this non-GAAP measure as it provides an enhanced perspective of our assets’ ability to generate cash flows without regard for certain items that do not reflect our core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use of DCF and Operational DCF for the limited purposes described above and in this quarterly report is not a substitute for net cash flow provided by operating activities, which is the most comparable GAAP measure to DCF and Operational DCF. For a discussion of net cash flow provided by operating activities, see “</w:t>
      </w:r>
      <w:r>
        <w:rPr>
          <w:rFonts w:ascii="Times New Roman" w:cs="Times New Roman" w:eastAsia="Times New Roman" w:hAnsi="Times New Roman"/>
          <w:sz w:val="18"/>
          <w:szCs w:val="18"/>
          <w:i w:val="1"/>
          <w:iCs w:val="1"/>
          <w:color w:val="auto"/>
        </w:rPr>
        <w:t>Cash Flow Statement Highlights</w:t>
      </w:r>
      <w:r>
        <w:rPr>
          <w:rFonts w:ascii="Times New Roman" w:cs="Times New Roman" w:eastAsia="Times New Roman" w:hAnsi="Times New Roman"/>
          <w:sz w:val="18"/>
          <w:szCs w:val="18"/>
          <w:color w:val="auto"/>
        </w:rPr>
        <w:t>” within this Part I, Item 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calculation of DCF and Operational DCF for the periods indicated (dollars in millions):</w:t>
      </w:r>
    </w:p>
    <w:p>
      <w:pPr>
        <w:spacing w:after="0" w:line="273"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3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33020</wp:posOffset>
            </wp:positionV>
            <wp:extent cx="18599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5991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3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common unitholders (GAAP) (1)</w:t>
            </w: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1,482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1,393</w:t>
            </w:r>
          </w:p>
        </w:tc>
      </w:tr>
      <w:tr>
        <w:trPr>
          <w:trHeight w:val="178"/>
        </w:trPr>
        <w:tc>
          <w:tcPr>
            <w:tcW w:w="8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net income attributable to common unitholders to derive DCF and Operational DCF (addition or subtraction indicated by</w:t>
            </w: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0"/>
        </w:trPr>
        <w:tc>
          <w:tcPr>
            <w:tcW w:w="83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sign):</w:t>
            </w: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8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amortization and accretion expenses</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636</w:t>
            </w:r>
          </w:p>
        </w:tc>
      </w:tr>
      <w:tr>
        <w:trPr>
          <w:trHeight w:val="193"/>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Cash distributions received from unconsolidated affiliates (2)</w:t>
            </w:r>
          </w:p>
        </w:tc>
        <w:tc>
          <w:tcPr>
            <w:tcW w:w="8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103</w:t>
            </w:r>
          </w:p>
        </w:tc>
      </w:tr>
      <w:tr>
        <w:trPr>
          <w:trHeight w:val="37"/>
        </w:trPr>
        <w:tc>
          <w:tcPr>
            <w:tcW w:w="8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09"/>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Equity in income of unconsolidated affiliates</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(94)</w:t>
            </w:r>
          </w:p>
        </w:tc>
      </w:tr>
      <w:tr>
        <w:trPr>
          <w:trHeight w:val="193"/>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Asset impairment charges</w:t>
            </w:r>
          </w:p>
        </w:tc>
        <w:tc>
          <w:tcPr>
            <w:tcW w:w="8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r>
      <w:tr>
        <w:trPr>
          <w:trHeight w:val="37"/>
        </w:trPr>
        <w:tc>
          <w:tcPr>
            <w:tcW w:w="8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market value of derivative instruments</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42</w:t>
            </w:r>
          </w:p>
        </w:tc>
      </w:tr>
      <w:tr>
        <w:trPr>
          <w:trHeight w:val="193"/>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w:t>
            </w:r>
          </w:p>
        </w:tc>
        <w:tc>
          <w:tcPr>
            <w:tcW w:w="8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w:t>
            </w:r>
          </w:p>
        </w:tc>
      </w:tr>
      <w:tr>
        <w:trPr>
          <w:trHeight w:val="37"/>
        </w:trPr>
        <w:tc>
          <w:tcPr>
            <w:tcW w:w="8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0"/>
        </w:trPr>
        <w:tc>
          <w:tcPr>
            <w:tcW w:w="8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Sustaining capital expenditures (3)</w:t>
            </w:r>
          </w:p>
        </w:tc>
        <w:tc>
          <w:tcPr>
            <w:tcW w:w="8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(102)</w:t>
            </w:r>
          </w:p>
        </w:tc>
      </w:tr>
      <w:tr>
        <w:trPr>
          <w:trHeight w:val="206"/>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860" w:type="dxa"/>
            <w:vAlign w:val="bottom"/>
          </w:tcPr>
          <w:p>
            <w:pPr>
              <w:spacing w:after="0"/>
              <w:rPr>
                <w:sz w:val="17"/>
                <w:szCs w:val="17"/>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w:t>
            </w:r>
          </w:p>
        </w:tc>
      </w:tr>
      <w:tr>
        <w:trPr>
          <w:trHeight w:val="30"/>
        </w:trPr>
        <w:tc>
          <w:tcPr>
            <w:tcW w:w="8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Operational DCF (non-GAAP)</w:t>
            </w: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2,009</w:t>
            </w:r>
          </w:p>
        </w:tc>
      </w:tr>
      <w:tr>
        <w:trPr>
          <w:trHeight w:val="193"/>
        </w:trPr>
        <w:tc>
          <w:tcPr>
            <w:tcW w:w="83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860" w:type="dxa"/>
            <w:vAlign w:val="bottom"/>
          </w:tcPr>
          <w:p>
            <w:pPr>
              <w:spacing w:after="0"/>
              <w:rPr>
                <w:sz w:val="16"/>
                <w:szCs w:val="16"/>
                <w:color w:val="auto"/>
              </w:rPr>
            </w:pPr>
          </w:p>
        </w:tc>
        <w:tc>
          <w:tcPr>
            <w:tcW w:w="5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r>
      <w:tr>
        <w:trPr>
          <w:trHeight w:val="30"/>
        </w:trPr>
        <w:tc>
          <w:tcPr>
            <w:tcW w:w="83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DCF (non-GAAP)</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2,013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8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distributions paid to common unitholders with respect to period, including distribution equivalent rights on phantom unit awards</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1,171</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8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9"/>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distribution per common unit declared by Enterprise GP with respect to period (4)</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0.5500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0.5350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8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DCF retained by the Partnership with respect to period (5)</w:t>
            </w:r>
          </w:p>
        </w:tc>
        <w:tc>
          <w:tcPr>
            <w:tcW w:w="86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842</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22"/>
        </w:trPr>
        <w:tc>
          <w:tcPr>
            <w:tcW w:w="8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5"/>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coverage ratio (6)</w:t>
            </w:r>
          </w:p>
        </w:tc>
        <w:tc>
          <w:tcPr>
            <w:tcW w:w="8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2.3 x</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x</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6" w:lineRule="exact"/>
        <w:rPr>
          <w:sz w:val="20"/>
          <w:szCs w:val="20"/>
          <w:color w:val="auto"/>
        </w:rPr>
      </w:pPr>
    </w:p>
    <w:p>
      <w:pPr>
        <w:ind w:left="400" w:hanging="392"/>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 discussion of the primary drivers of changes in our comparative income statement amounts, see “</w:t>
      </w:r>
      <w:r>
        <w:rPr>
          <w:rFonts w:ascii="Times New Roman" w:cs="Times New Roman" w:eastAsia="Times New Roman" w:hAnsi="Times New Roman"/>
          <w:sz w:val="14"/>
          <w:szCs w:val="14"/>
          <w:i w:val="1"/>
          <w:iCs w:val="1"/>
          <w:color w:val="auto"/>
        </w:rPr>
        <w:t>Income Statement Highlights</w:t>
      </w:r>
      <w:r>
        <w:rPr>
          <w:rFonts w:ascii="Times New Roman" w:cs="Times New Roman" w:eastAsia="Times New Roman" w:hAnsi="Times New Roman"/>
          <w:sz w:val="14"/>
          <w:szCs w:val="14"/>
          <w:color w:val="auto"/>
        </w:rPr>
        <w:t>” within this Part I, Item 2.</w:t>
      </w:r>
    </w:p>
    <w:p>
      <w:pPr>
        <w:spacing w:after="0" w:line="19"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aggregate distributions received from unconsolidated affiliates attributable to both earnings and the return of capital.</w:t>
      </w:r>
    </w:p>
    <w:p>
      <w:pPr>
        <w:spacing w:after="0" w:line="11" w:lineRule="exact"/>
        <w:rPr>
          <w:rFonts w:ascii="Times New Roman" w:cs="Times New Roman" w:eastAsia="Times New Roman" w:hAnsi="Times New Roman"/>
          <w:sz w:val="14"/>
          <w:szCs w:val="14"/>
          <w:color w:val="auto"/>
        </w:rPr>
      </w:pPr>
    </w:p>
    <w:p>
      <w:pPr>
        <w:ind w:left="400" w:hanging="392"/>
        <w:spacing w:after="0"/>
        <w:tabs>
          <w:tab w:leader="none" w:pos="40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expenditures include cash payments and accruals applicable to the period.</w:t>
      </w:r>
    </w:p>
    <w:p>
      <w:pPr>
        <w:spacing w:after="0" w:line="14" w:lineRule="exact"/>
        <w:rPr>
          <w:rFonts w:ascii="Times New Roman" w:cs="Times New Roman" w:eastAsia="Times New Roman" w:hAnsi="Times New Roman"/>
          <w:sz w:val="14"/>
          <w:szCs w:val="14"/>
          <w:color w:val="auto"/>
        </w:rPr>
      </w:pPr>
    </w:p>
    <w:p>
      <w:pPr>
        <w:ind w:left="420" w:hanging="412"/>
        <w:spacing w:after="0" w:line="261" w:lineRule="auto"/>
        <w:tabs>
          <w:tab w:leader="none" w:pos="4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8 of the Notes to Unaudited Condensed Consolidated Financial Statements included under Part I, Item 1 of this quarterly report for information regarding our quarterly cash distributions declared with respect to the periods indicated.</w:t>
      </w:r>
    </w:p>
    <w:p>
      <w:pPr>
        <w:ind w:left="420" w:right="20" w:hanging="412"/>
        <w:spacing w:after="0" w:line="251" w:lineRule="auto"/>
        <w:tabs>
          <w:tab w:leader="none" w:pos="4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retained by the Partnership may be used for capital investments, debt service, working capital, operating expenses, common unit repurchases, commitments and contingencies and other amounts. The retention of cash reduces our reliance on the capital markets.</w:t>
      </w:r>
    </w:p>
    <w:p>
      <w:pPr>
        <w:ind w:left="420" w:hanging="412"/>
        <w:spacing w:after="0" w:line="283" w:lineRule="auto"/>
        <w:tabs>
          <w:tab w:leader="none" w:pos="412"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 coverage ratio is determined by dividing DCF by total cash distributions paid to common unitholders and in connection with distribution equivalent rights with respect to the period.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net cash flow provided by operating activities to DCF and Operational DCF for the periods indicated (dollars in millions):</w:t>
      </w:r>
    </w:p>
    <w:p>
      <w:pPr>
        <w:spacing w:after="0" w:line="20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40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33020</wp:posOffset>
            </wp:positionV>
            <wp:extent cx="179133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44"/>
        </w:trPr>
        <w:tc>
          <w:tcPr>
            <w:tcW w:w="842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9"/>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flow provided by operating activities (GAAP)</w:t>
            </w:r>
          </w:p>
        </w:tc>
        <w:tc>
          <w:tcPr>
            <w:tcW w:w="900" w:type="dxa"/>
            <w:vAlign w:val="bottom"/>
            <w:tcBorders>
              <w:bottom w:val="single" w:sz="8" w:color="CCEEFF"/>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2,314</w:t>
            </w:r>
          </w:p>
        </w:tc>
      </w:tr>
      <w:tr>
        <w:trPr>
          <w:trHeight w:val="178"/>
        </w:trPr>
        <w:tc>
          <w:tcPr>
            <w:tcW w:w="8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Adjustments to reconcile net cash flow provided by operating activities to DCF and Operational DCF (addition or subtraction indicated by</w:t>
            </w: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0"/>
        </w:trPr>
        <w:tc>
          <w:tcPr>
            <w:tcW w:w="8420" w:type="dxa"/>
            <w:vAlign w:val="bottom"/>
          </w:tcPr>
          <w:p>
            <w:pPr>
              <w:ind w:left="180"/>
              <w:spacing w:after="0"/>
              <w:rPr>
                <w:sz w:val="20"/>
                <w:szCs w:val="20"/>
                <w:color w:val="auto"/>
              </w:rPr>
            </w:pPr>
            <w:r>
              <w:rPr>
                <w:rFonts w:ascii="Times New Roman" w:cs="Times New Roman" w:eastAsia="Times New Roman" w:hAnsi="Times New Roman"/>
                <w:sz w:val="14"/>
                <w:szCs w:val="14"/>
                <w:i w:val="1"/>
                <w:iCs w:val="1"/>
                <w:color w:val="auto"/>
              </w:rPr>
              <w:t>sign):</w:t>
            </w: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effect of changes in operating accounts</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r>
      <w:tr>
        <w:trPr>
          <w:trHeight w:val="193"/>
        </w:trPr>
        <w:tc>
          <w:tcPr>
            <w:tcW w:w="8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Sustaining capital expenditures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Distributions received from unconsolidated affiliates attributable to the return of capital</w:t>
            </w:r>
          </w:p>
        </w:tc>
        <w:tc>
          <w:tcPr>
            <w:tcW w:w="9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3"/>
        </w:trPr>
        <w:tc>
          <w:tcPr>
            <w:tcW w:w="8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attributable to noncontrolling interests</w:t>
            </w:r>
          </w:p>
        </w:tc>
        <w:tc>
          <w:tcPr>
            <w:tcW w:w="90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4"/>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84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Operational DCF (non-GAAP)</w:t>
            </w:r>
          </w:p>
        </w:tc>
        <w:tc>
          <w:tcPr>
            <w:tcW w:w="900" w:type="dxa"/>
            <w:vAlign w:val="bottom"/>
            <w:tcBorders>
              <w:top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2,111</w:t>
            </w: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2,009</w:t>
            </w:r>
          </w:p>
        </w:tc>
      </w:tr>
      <w:tr>
        <w:trPr>
          <w:trHeight w:val="37"/>
        </w:trPr>
        <w:tc>
          <w:tcPr>
            <w:tcW w:w="8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8"/>
        </w:trPr>
        <w:tc>
          <w:tcPr>
            <w:tcW w:w="8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asset sales and other matters</w:t>
            </w:r>
          </w:p>
        </w:tc>
        <w:tc>
          <w:tcPr>
            <w:tcW w:w="9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25"/>
        </w:trPr>
        <w:tc>
          <w:tcPr>
            <w:tcW w:w="84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DCF (non-GAAP)</w:t>
            </w: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2,707</w:t>
            </w:r>
          </w:p>
        </w:tc>
        <w:tc>
          <w:tcPr>
            <w:tcW w:w="100" w:type="dxa"/>
            <w:vAlign w:val="bottom"/>
            <w:tcBorders>
              <w:top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2,013</w:t>
            </w:r>
          </w:p>
        </w:tc>
      </w:tr>
      <w:tr>
        <w:trPr>
          <w:trHeight w:val="25"/>
        </w:trPr>
        <w:tc>
          <w:tcPr>
            <w:tcW w:w="84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beginning of 2026, we have placed into service our second natural gas processing train at our Mentone West location in the Delaware Basin. We have approximately $5.3 billion of growth capital projects scheduled to be completed by the end of 2027, including the following projects (including their respective scheduled completion dates):</w:t>
      </w:r>
    </w:p>
    <w:p>
      <w:pPr>
        <w:spacing w:after="0" w:line="176" w:lineRule="exact"/>
        <w:rPr>
          <w:sz w:val="20"/>
          <w:szCs w:val="20"/>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gathering, compression and treating expansion projects in the Delaware and Midland Basins (2026 and 2027);</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phase of our Neches River Ethane / Propane Export Facility located in Orange County, Texas (second quarter of 2026);</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LPG and PGP export capacity at EHT, including Ref 4 (fourth quarter of 2026);</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ninth natural gas processing train (“Athena”) in the Midland Basin (fourth quarter of 2026);</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gas processing train in the Midland Basin (third quarter of 2027);</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natural gas processing train in the Delaware Basin (fourth quarter of 2027); and</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extension of the Bahia NGL Pipeline (fourth quarter of 2027).</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information currently available, we expect our total organic capital investments for 2026, net of contributions from noncontrolling interests, to approximate $3.5 to $3.8 billion, which reflects organic growth capital investments of $2.9 to $3.2 billion and sustaining capital expenditures of $580 million. In addition, we expect approximately $600 million in cash proceeds from asset sales and other matters during 2026, primarily from the second installment payment received in January 2026 related to the sale of a 40% undivided joint interest in our Bahia NGL Pipeline, which may be used to offset a portion of our forecasted organic growth capital investments.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forecast of capital investments is dependent upon our ability to generate the required funds from either operating cash flows or other means, including borrowings under debt agreements, the issuance of additional equity and debt securities, and potential divestitures. We may revise our forecast of capital investments due to factors beyond our control, such as adverse economic conditions, weather-related issues and changes in supplier prices resulting from raw material or labor shortages, supply chain disruptions or inflation. Furthermore, our forecast of capital investments may change over time based on future decisions by management, which may include changing the scope or timing of projects or cancelling projects altogether. Our success in raising capital, having the ability to increase revenues commensurate with cost increases and our ability to partner with other companies to share project costs and risks continue to be significant factors in determining how much capital we can invest. We believe our access to capital resources is sufficient to meet the demands of our current and future growth needs, and although we currently expect to make the forecast capital investments noted above, we may revise our plans in response to changes in economic and capital market conditions.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capital investments for the periods indicated (dollars in millions):</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2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33020</wp:posOffset>
            </wp:positionV>
            <wp:extent cx="194564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45640"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44"/>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Capital investments: (1)</w:t>
            </w:r>
          </w:p>
        </w:tc>
        <w:tc>
          <w:tcPr>
            <w:tcW w:w="10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18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8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Growth capital projects (2)</w:t>
            </w:r>
          </w:p>
        </w:tc>
        <w:tc>
          <w:tcPr>
            <w:tcW w:w="104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Sustaining capital projects (3)</w:t>
            </w:r>
          </w:p>
        </w:tc>
        <w:tc>
          <w:tcPr>
            <w:tcW w:w="10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0" w:type="dxa"/>
            <w:vAlign w:val="bottom"/>
          </w:tcPr>
          <w:p>
            <w:pPr>
              <w:spacing w:after="0"/>
              <w:rPr>
                <w:sz w:val="1"/>
                <w:szCs w:val="1"/>
                <w:color w:val="auto"/>
              </w:rPr>
            </w:pPr>
          </w:p>
        </w:tc>
      </w:tr>
      <w:tr>
        <w:trPr>
          <w:trHeight w:val="31"/>
        </w:trPr>
        <w:tc>
          <w:tcPr>
            <w:tcW w:w="8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40" w:type="dxa"/>
            <w:vAlign w:val="bottom"/>
            <w:tcBorders>
              <w:bottom w:val="single" w:sz="8" w:color="auto"/>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420" w:hanging="412"/>
        <w:spacing w:after="0" w:line="261" w:lineRule="auto"/>
        <w:tabs>
          <w:tab w:leader="none" w:pos="4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sustaining capital and asset acquisition amounts presented in the table above are presented on a cash basis. In total, these amounts represent “Capital expenditures” as presented on our Unaudited Condensed Statements of Consolidated Cash Flows.</w:t>
      </w:r>
    </w:p>
    <w:p>
      <w:pPr>
        <w:ind w:left="420" w:hanging="412"/>
        <w:spacing w:after="0" w:line="261" w:lineRule="auto"/>
        <w:tabs>
          <w:tab w:leader="none" w:pos="4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capital projects either (a) result in new sources of cash flow due to enhancements of or additions to existing assets (e.g., additional revenue streams, cost savings resulting from debottlenecking of a facility, etc.) or (b) expand our asset base through construction of new facilities that will generate additional revenue streams and cash flows.</w:t>
      </w:r>
    </w:p>
    <w:p>
      <w:pPr>
        <w:jc w:val="both"/>
        <w:ind w:left="420" w:hanging="412"/>
        <w:spacing w:after="0" w:line="262" w:lineRule="auto"/>
        <w:tabs>
          <w:tab w:leader="none" w:pos="412"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Sustaining capital projects are capital expenditures (as defined by GAAP) resulting from improvements to existing assets. Such expenditures serve to maintain existing operations but do not generate additional revenues or result in significant cost savings. Sustaining capital expenditures include the costs of major maintenance activities at our reaction-based plants, which are accounted for using the deferral method.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First Quarter of 2026 with First Quarter of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total, investments in growth capital projects decreased $145 million quarter-to-quarter primarily due to the following:</w:t>
      </w:r>
    </w:p>
    <w:p>
      <w:pPr>
        <w:spacing w:after="0" w:line="225" w:lineRule="exact"/>
        <w:rPr>
          <w:sz w:val="20"/>
          <w:szCs w:val="20"/>
          <w:color w:val="auto"/>
        </w:rPr>
      </w:pPr>
    </w:p>
    <w:p>
      <w:pPr>
        <w:ind w:left="500" w:right="20" w:hanging="330"/>
        <w:spacing w:after="0" w:line="282" w:lineRule="auto"/>
        <w:tabs>
          <w:tab w:leader="none" w:pos="4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investments at our Mont Belvieu area NGL fractionation complex (Frac 14 placed into service during the fourth quarter of 2025), which accounted for a $58 million decrease;</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investments in ethylene, ethane, and LPG export expansion and enhancement projects that support our Gulf Coast terminals (the first phase of our Neches River export facility placed into service in July 2025 and the second phase of enhancements at our Morgan’s Point terminal placed into service in December 2025), which accounted for an additional $46 million decrease; and</w:t>
      </w:r>
    </w:p>
    <w:p>
      <w:pPr>
        <w:spacing w:after="0" w:line="175" w:lineRule="exact"/>
        <w:rPr>
          <w:rFonts w:ascii="Times New Roman" w:cs="Times New Roman" w:eastAsia="Times New Roman" w:hAnsi="Times New Roman"/>
          <w:sz w:val="18"/>
          <w:szCs w:val="18"/>
          <w:color w:val="auto"/>
        </w:rPr>
      </w:pPr>
    </w:p>
    <w:p>
      <w:pPr>
        <w:ind w:left="500" w:right="20" w:hanging="330"/>
        <w:spacing w:after="0" w:line="282" w:lineRule="auto"/>
        <w:tabs>
          <w:tab w:leader="none" w:pos="4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investments in the construction of natural gas processing trains and related gathering system expansions in the Delaware and Midland Basins (two natural gas processing trains placed into service during the third quarter of 2025), which accounted for a $40 million decrease.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attributable to sustaining capital projects increased $66 million quarter-to-quarter primarily due to higher major maintenance activities performed at certain of our reaction-based plants (e.g., our octane enhancement facilities) and fluctuations in timing and costs of pipeline integrity and similar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discussion of our critical accounting policies and estimates is included in our 2025 Form 10-K. The following types of estimates, in our opinion, are subjective in nature, require the exercise of professional judgment and involve complex analysis:</w:t>
      </w:r>
    </w:p>
    <w:p>
      <w:pPr>
        <w:spacing w:after="0" w:line="162" w:lineRule="exact"/>
        <w:rPr>
          <w:sz w:val="20"/>
          <w:szCs w:val="20"/>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methods and estimated useful lives of property, plant and equipment;</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measuring recoverability of long-lived assets and fair value of equity method investments;</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methods of customer relationships and contract-based intangible assets;</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we employ to measure the fair value of goodwill and related assets; and</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for revenue and expenses.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used to prepare our Unaudited Condensed Consolidated Financial Statements, the foregoing types of estimates are based on our current knowledge and understanding of the underlying facts and circumstances. Such estimates may be revised as a result of changes in the underlying facts and circumstances. Subsequent changes in these estimates may have a significant impact on our consolidated financial position, results of operations and cash flows.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Parent-Subsidiary Guarantor Relationship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 (the “Parent Guarantor”) has guaranteed the payment of principal and interest on the consolidated debt obligations of EPO (the “Subsidiary Issuer”) (collectively, the “Guaranteed Debt”). If EPO were to default on any of its Guaranteed Debt, the Partnership would be responsible for full and unconditional repayment of such obligations. At March 31, 2026, the total amount of Guaranteed Debt was $34.5 billion, which was comprised of $30.8 billion of EPO’s senior notes, $2.3 billion of EPO’s junior subordinated notes, $1.1 billion of commercial paper and $287 million of related accrued interest.</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Partnership’s guarantees of EPO’s senior note obligations, commercial paper notes and borrowings under bank credit facilities represent unsecured and unsubordinated obligations of the Partnership that rank equal in right of payment to all other existing or future unsecured and unsubordinated indebtedness of the Partnership. In addition, these guarantees effectively rank junior in right of payment to any existing or future indebtedness of the Partnership that is secured and unsubordinated, to the extent of the assets securing such indebtedness.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Partnership’s guarantees of EPO’s junior subordinated notes represent unsecured and subordinated obligations of the Partnership that rank equal in right of payment to all other existing or future subordinated indebtedness of the Partnership and senior in right of payment to all existing or future equity securities of the Partnership. The Partnership’s guarantees of EPO’s junior subordinated notes effectively rank junior in right of payment to (i) any existing or future indebtedness of the Partnership that is secured, to the extent of the assets securing such indebtedness and (ii) all other existing or future unsecured and unsubordinated indebtedness of the Partnership.</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Partnership may be released from its guarantee obligations only in connection with EPO’s exercise of its legal or covenant defeasance options as described in the underlying agreements.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Selected Financial Information of Obligor Group</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of the Partnership (as Parent Guarantor) and EPO (as Subsidiary Issuer) on a combined basis (collectively, the “Obligor Group”), after the elimination of intercompany balances and transactions among the Obligor Group.</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Rule 13.01 of Regulation S-X, the summarized financial information of the Obligor Group excludes the Obligor Group’s equity in income and investments in the consolidated subsidiaries of EPO that are not party to the guarantee obligations (the “Non-Obligor Subsidiaries”). The total carrying value of the Obligor Group’s investments in the Non-Obligor Subsidiaries was $55.2 billion at March 31, 2026. The Obligor Group’s equity in the earnings of the Non-Obligor Subsidiaries for the first quarter of 2026 was $1.7 billion. Although the net assets and earnings of the Non-Obligor Subsidiaries are not directly available to the holders of the Guaranteed Debt to satisfy the repayment of such obligations, there are no significant restrictions on the ability of the Non-Obligor Subsidiaries to pay distributions or make loans to EPO or the Partnership. EPO exercises control over the Non-Obligor Subsidiaries. We continue to believe that the unaudited condensed consolidated financial statements of the Partnership presented under Part I, Item 1 of this quarterly report provide a more appropriate view of our credit standing. Our investment grade credit ratings are based on the Partnership’s consolidated financial statements and not the Obligor Group’s financial information presented below.</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combined Obligor Group at the dates indicated (dollars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asset information:</w:t>
            </w:r>
          </w:p>
        </w:tc>
        <w:tc>
          <w:tcPr>
            <w:tcW w:w="18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7"/>
                <w:szCs w:val="17"/>
                <w:color w:val="auto"/>
              </w:rPr>
            </w:pPr>
          </w:p>
        </w:tc>
        <w:tc>
          <w:tcPr>
            <w:tcW w:w="13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0"/>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receivables from Non-Obligor Subsidiaries</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7,035</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receivables from Non-Obligor Subsidiaries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noncurrent assets, excluding investments in Non-Obligor Subsidiaries of $55.2 billion at March 31, 2026</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8"/>
        </w:trPr>
        <w:tc>
          <w:tcPr>
            <w:tcW w:w="81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and $54.9 billion at December 31, 2025</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8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liability information:</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portion of Guaranteed Debt, including interest of $287 million at March 31, 2026 and $566 million at</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5"/>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December 31, 2025</w:t>
            </w: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payables to Non-Obligor Subsidiaries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Noncurrent portion of Guaranteed Debt, principal only</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33,082</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Noncurrent payables to Non-Obligor Subsidiaries</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3"/>
        </w:trPr>
        <w:tc>
          <w:tcPr>
            <w:tcW w:w="8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8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Mezzanine equity of Obligor Group:</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19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units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37"/>
        </w:trPr>
        <w:tc>
          <w:tcPr>
            <w:tcW w:w="81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income statement information for the combined Obligor Group for the periods indicated (dollars in millions):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Twelve Months</w:t>
            </w:r>
          </w:p>
        </w:tc>
      </w:tr>
      <w:tr>
        <w:trPr>
          <w:trHeight w:val="176"/>
        </w:trPr>
        <w:tc>
          <w:tcPr>
            <w:tcW w:w="8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00" w:type="dxa"/>
            <w:vAlign w:val="bottom"/>
          </w:tcPr>
          <w:p>
            <w:pPr>
              <w:spacing w:after="0"/>
              <w:rPr>
                <w:sz w:val="15"/>
                <w:szCs w:val="15"/>
                <w:color w:val="auto"/>
              </w:rPr>
            </w:pPr>
          </w:p>
        </w:tc>
        <w:tc>
          <w:tcPr>
            <w:tcW w:w="1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90"/>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44"/>
        </w:trPr>
        <w:tc>
          <w:tcPr>
            <w:tcW w:w="81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from Non-Obligor Subsidiaries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16,128</w:t>
            </w: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 from other sources</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17,795</w:t>
            </w:r>
          </w:p>
        </w:tc>
      </w:tr>
      <w:tr>
        <w:trPr>
          <w:trHeight w:val="37"/>
        </w:trPr>
        <w:tc>
          <w:tcPr>
            <w:tcW w:w="8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of Obligor Group</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of Obligor Group excluding equity in earnings of Non-Obligor Subsidiaries of $1.7 billion for the</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02"/>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three months ended March 31, 2026 and $6.9 billion for the twelve months ended December 31, 2025</w:t>
            </w: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regarding our related party transactions, see Note 14 of the Notes to Unaudited Condensed Consolidated Financial Statements included under Part I, Item 1 of this quarterly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MARKET RISK.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our business operations, we are exposed to certain risks, including changes in interest rates and commodity prices. In order to manage risks associated with assets, liabilities and certain anticipated future transactions, we use derivative instruments such as futures, forward contracts, swaps and other instruments with similar characteristics. Substantially all of our derivatives are used for non-trading activities.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the risk associated with each of our derivative instrument portfolios using a sensitivity analysis model. This approach measures the change in fair value of the derivative instrument portfolio based on a hypothetical 10% change in the underlying interest rates or quoted market prices on a particular day. In addition to these variables, the fair value of each portfolio is influenced by changes in the notional amounts of the instruments outstanding. The sensitivity analysis approach does not reflect the impact that the same hypothetical price movement would have on the hedged exposures to which they relate. Therefore, the impact on the fair value of a derivative instrument resulting from a change in interest rates or quoted market prices (as applicable) would normally be offset by a corresponding gain or loss on the hedged debt instrument, inventory value or forecasted transaction assuming:</w:t>
      </w:r>
    </w:p>
    <w:p>
      <w:pPr>
        <w:spacing w:after="0" w:line="187" w:lineRule="exact"/>
        <w:rPr>
          <w:sz w:val="20"/>
          <w:szCs w:val="20"/>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functions effectively as a hedge of the underlying risk;</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derivative instrument is not closed out in advance of its expected term; and</w:t>
      </w:r>
    </w:p>
    <w:p>
      <w:pPr>
        <w:spacing w:after="0" w:line="225"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hedged forecasted transaction occurs within the expected time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routinely review the effectiveness of our derivative instrument portfolios in light of current market conditions. Accordingly, the nature and volume of our derivative instruments may change depending on the specific exposure being managed.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Hedging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energy commodities such as natural gas, NGLs, crude oil, petrochemicals and refined products and power are subject to fluctuations in response to changes in supply and demand, market conditions and a variety of additional factors that are beyond our control. In order to manage such price risks, we enter into commodity derivative instruments such as physical forward contracts, futures contracts, fixed-for-float swaps and basis swaps.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March 31, 2026, our predominant commodity hedging strategies consisted of (i) hedging anticipated future purchases and sales of commodity products associated with transportation, storage and blending activities, (ii) hedging natural gas processing margins, (iii) hedging the fair value of commodity products held in inventory and (iv) hedging anticipated future purchases of power for certain operations in Southeast Texas. For a summary of our portfolio of commodity derivative instruments outstanding, see Note 13 of the Notes to Unaudited Condensed Consolidated Financial Statements included under Part I, Item 1 of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Analysis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show the effect of hypothetical price movements on the estimated fair values of our principal commodity derivative instrument portfolios at the dates indicated (dollars in millions).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information presented in the sensitivity analysis tables excludes the impact of applying Chicago Mercantile Exchange (“CME”) Rule 814, which deems that financial instruments cleared by the CME are settled daily in connection with variation margin payments. As a result of this exchange rule, CME-related derivatives are considered to have no fair value at the balance sheet date for financial reporting purposes; however, the derivatives remain outstanding and subject to future commodity price fluctuations until they are settled in accordance with their contractual terms. Derivative transactions cleared on exchanges other than the CME (e.g., the Intercontinental Exchange or ICE) continue to be reported on a gross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Natural gas marketing portfolio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600" w:type="dxa"/>
            <w:vAlign w:val="bottom"/>
          </w:tcPr>
          <w:p>
            <w:pPr>
              <w:spacing w:after="0"/>
              <w:rPr>
                <w:sz w:val="3"/>
                <w:szCs w:val="3"/>
                <w:color w:val="auto"/>
              </w:rPr>
            </w:pPr>
          </w:p>
        </w:tc>
        <w:tc>
          <w:tcPr>
            <w:tcW w:w="20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April 15, 2026</w:t>
            </w:r>
          </w:p>
        </w:tc>
        <w:tc>
          <w:tcPr>
            <w:tcW w:w="0" w:type="dxa"/>
            <w:vAlign w:val="bottom"/>
          </w:tcPr>
          <w:p>
            <w:pPr>
              <w:spacing w:after="0"/>
              <w:rPr>
                <w:sz w:val="1"/>
                <w:szCs w:val="1"/>
                <w:color w:val="auto"/>
              </w:rPr>
            </w:pPr>
          </w:p>
        </w:tc>
      </w:tr>
      <w:tr>
        <w:trPr>
          <w:trHeight w:val="44"/>
        </w:trPr>
        <w:tc>
          <w:tcPr>
            <w:tcW w:w="46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no change in underlying commodity prices</w:t>
            </w:r>
          </w:p>
        </w:tc>
        <w:tc>
          <w:tcPr>
            <w:tcW w:w="200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(41)</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assuming 10% increase in underlying commodity prices</w:t>
            </w:r>
          </w:p>
        </w:tc>
        <w:tc>
          <w:tcPr>
            <w:tcW w:w="2000" w:type="dxa"/>
            <w:vAlign w:val="bottom"/>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3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10% decrease in underlying commodity prices</w:t>
            </w:r>
          </w:p>
        </w:tc>
        <w:tc>
          <w:tcPr>
            <w:tcW w:w="20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7"/>
        </w:trPr>
        <w:tc>
          <w:tcPr>
            <w:tcW w:w="46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NGL, petrochemical and refined products marketing, natural gas processing and octane enhancement portfolio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600" w:type="dxa"/>
            <w:vAlign w:val="bottom"/>
          </w:tcPr>
          <w:p>
            <w:pPr>
              <w:spacing w:after="0"/>
              <w:rPr>
                <w:sz w:val="3"/>
                <w:szCs w:val="3"/>
                <w:color w:val="auto"/>
              </w:rPr>
            </w:pPr>
          </w:p>
        </w:tc>
        <w:tc>
          <w:tcPr>
            <w:tcW w:w="20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460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0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7"/>
                <w:szCs w:val="17"/>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7"/>
                <w:szCs w:val="17"/>
                <w:color w:val="auto"/>
              </w:rPr>
            </w:pPr>
          </w:p>
        </w:tc>
        <w:tc>
          <w:tcPr>
            <w:tcW w:w="12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7"/>
                <w:szCs w:val="17"/>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April 15, 2026</w:t>
            </w:r>
          </w:p>
        </w:tc>
        <w:tc>
          <w:tcPr>
            <w:tcW w:w="0" w:type="dxa"/>
            <w:vAlign w:val="bottom"/>
          </w:tcPr>
          <w:p>
            <w:pPr>
              <w:spacing w:after="0"/>
              <w:rPr>
                <w:sz w:val="1"/>
                <w:szCs w:val="1"/>
                <w:color w:val="auto"/>
              </w:rPr>
            </w:pPr>
          </w:p>
        </w:tc>
      </w:tr>
      <w:tr>
        <w:trPr>
          <w:trHeight w:val="44"/>
        </w:trPr>
        <w:tc>
          <w:tcPr>
            <w:tcW w:w="46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no change in underlying commodity prices</w:t>
            </w:r>
          </w:p>
        </w:tc>
        <w:tc>
          <w:tcPr>
            <w:tcW w:w="200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91</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26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assuming 10% increase in underlying commodity prices</w:t>
            </w:r>
          </w:p>
        </w:tc>
        <w:tc>
          <w:tcPr>
            <w:tcW w:w="2000" w:type="dxa"/>
            <w:vAlign w:val="bottom"/>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10% decrease in underlying commodity prices</w:t>
            </w:r>
          </w:p>
        </w:tc>
        <w:tc>
          <w:tcPr>
            <w:tcW w:w="20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w:t>
            </w: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0" w:type="dxa"/>
            <w:vAlign w:val="bottom"/>
          </w:tcPr>
          <w:p>
            <w:pPr>
              <w:spacing w:after="0"/>
              <w:rPr>
                <w:sz w:val="1"/>
                <w:szCs w:val="1"/>
                <w:color w:val="auto"/>
              </w:rPr>
            </w:pPr>
          </w:p>
        </w:tc>
      </w:tr>
      <w:tr>
        <w:trPr>
          <w:trHeight w:val="37"/>
        </w:trPr>
        <w:tc>
          <w:tcPr>
            <w:tcW w:w="46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Crude oil marketing portfolio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600" w:type="dxa"/>
            <w:vAlign w:val="bottom"/>
          </w:tcPr>
          <w:p>
            <w:pPr>
              <w:spacing w:after="0"/>
              <w:rPr>
                <w:sz w:val="3"/>
                <w:szCs w:val="3"/>
                <w:color w:val="auto"/>
              </w:rPr>
            </w:pPr>
          </w:p>
        </w:tc>
        <w:tc>
          <w:tcPr>
            <w:tcW w:w="20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6"/>
                <w:szCs w:val="16"/>
                <w:color w:val="auto"/>
              </w:rPr>
            </w:pPr>
          </w:p>
        </w:tc>
        <w:tc>
          <w:tcPr>
            <w:tcW w:w="13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April 15, 2026</w:t>
            </w:r>
          </w:p>
        </w:tc>
        <w:tc>
          <w:tcPr>
            <w:tcW w:w="0" w:type="dxa"/>
            <w:vAlign w:val="bottom"/>
          </w:tcPr>
          <w:p>
            <w:pPr>
              <w:spacing w:after="0"/>
              <w:rPr>
                <w:sz w:val="1"/>
                <w:szCs w:val="1"/>
                <w:color w:val="auto"/>
              </w:rPr>
            </w:pPr>
          </w:p>
        </w:tc>
      </w:tr>
      <w:tr>
        <w:trPr>
          <w:trHeight w:val="44"/>
        </w:trPr>
        <w:tc>
          <w:tcPr>
            <w:tcW w:w="46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no change in underlying commodity prices</w:t>
            </w:r>
          </w:p>
        </w:tc>
        <w:tc>
          <w:tcPr>
            <w:tcW w:w="200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assuming 10% increase in underlying commodity prices</w:t>
            </w:r>
          </w:p>
        </w:tc>
        <w:tc>
          <w:tcPr>
            <w:tcW w:w="2000" w:type="dxa"/>
            <w:vAlign w:val="bottom"/>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(303)</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10% decrease in underlying commodity prices</w:t>
            </w:r>
          </w:p>
        </w:tc>
        <w:tc>
          <w:tcPr>
            <w:tcW w:w="20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203</w:t>
            </w:r>
          </w:p>
        </w:tc>
        <w:tc>
          <w:tcPr>
            <w:tcW w:w="3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(65)</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37"/>
        </w:trPr>
        <w:tc>
          <w:tcPr>
            <w:tcW w:w="46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Commercial energy derivative portfolio</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Portfolio Fair Value at</w:t>
            </w: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4600" w:type="dxa"/>
            <w:vAlign w:val="bottom"/>
          </w:tcPr>
          <w:p>
            <w:pPr>
              <w:spacing w:after="0"/>
              <w:rPr>
                <w:sz w:val="3"/>
                <w:szCs w:val="3"/>
                <w:color w:val="auto"/>
              </w:rPr>
            </w:pPr>
          </w:p>
        </w:tc>
        <w:tc>
          <w:tcPr>
            <w:tcW w:w="200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Resulting</w:t>
            </w: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460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60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00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40" w:type="dxa"/>
            <w:vAlign w:val="bottom"/>
          </w:tcPr>
          <w:p>
            <w:pPr>
              <w:spacing w:after="0"/>
              <w:rPr>
                <w:sz w:val="16"/>
                <w:szCs w:val="16"/>
                <w:color w:val="auto"/>
              </w:rPr>
            </w:pPr>
          </w:p>
        </w:tc>
        <w:tc>
          <w:tcPr>
            <w:tcW w:w="14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16"/>
                <w:szCs w:val="16"/>
                <w:color w:val="auto"/>
              </w:rPr>
            </w:pPr>
          </w:p>
        </w:tc>
        <w:tc>
          <w:tcPr>
            <w:tcW w:w="128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6"/>
                <w:szCs w:val="16"/>
                <w:color w:val="auto"/>
              </w:rPr>
            </w:pPr>
          </w:p>
        </w:tc>
        <w:tc>
          <w:tcPr>
            <w:tcW w:w="12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April 15, 2026</w:t>
            </w:r>
          </w:p>
        </w:tc>
        <w:tc>
          <w:tcPr>
            <w:tcW w:w="0" w:type="dxa"/>
            <w:vAlign w:val="bottom"/>
          </w:tcPr>
          <w:p>
            <w:pPr>
              <w:spacing w:after="0"/>
              <w:rPr>
                <w:sz w:val="1"/>
                <w:szCs w:val="1"/>
                <w:color w:val="auto"/>
              </w:rPr>
            </w:pPr>
          </w:p>
        </w:tc>
      </w:tr>
      <w:tr>
        <w:trPr>
          <w:trHeight w:val="44"/>
        </w:trPr>
        <w:tc>
          <w:tcPr>
            <w:tcW w:w="46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no change in underlying commodity prices</w:t>
            </w:r>
          </w:p>
        </w:tc>
        <w:tc>
          <w:tcPr>
            <w:tcW w:w="2000" w:type="dxa"/>
            <w:vAlign w:val="bottom"/>
            <w:tcBorders>
              <w:bottom w:val="single" w:sz="8" w:color="CCEEFF"/>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30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assuming 10% increase in underlying commodity prices</w:t>
            </w:r>
          </w:p>
        </w:tc>
        <w:tc>
          <w:tcPr>
            <w:tcW w:w="2000" w:type="dxa"/>
            <w:vAlign w:val="bottom"/>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tcPr>
          <w:p>
            <w:pPr>
              <w:spacing w:after="0"/>
              <w:rPr>
                <w:sz w:val="16"/>
                <w:szCs w:val="16"/>
                <w:color w:val="auto"/>
              </w:rPr>
            </w:pPr>
          </w:p>
        </w:tc>
        <w:tc>
          <w:tcPr>
            <w:tcW w:w="1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6"/>
                <w:szCs w:val="16"/>
                <w:color w:val="auto"/>
              </w:rPr>
            </w:pPr>
          </w:p>
        </w:tc>
        <w:tc>
          <w:tcPr>
            <w:tcW w:w="1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37"/>
        </w:trPr>
        <w:tc>
          <w:tcPr>
            <w:tcW w:w="46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assuming 10% decrease in underlying commodity prices</w:t>
            </w:r>
          </w:p>
        </w:tc>
        <w:tc>
          <w:tcPr>
            <w:tcW w:w="2000" w:type="dxa"/>
            <w:vAlign w:val="bottom"/>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i w:val="1"/>
                <w:iCs w:val="1"/>
                <w:color w:val="auto"/>
              </w:rPr>
              <w:t>Asset (Liability)</w:t>
            </w: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37"/>
        </w:trPr>
        <w:tc>
          <w:tcPr>
            <w:tcW w:w="4600" w:type="dxa"/>
            <w:vAlign w:val="bottom"/>
            <w:shd w:val="clear" w:color="auto" w:fill="CCEEFF"/>
          </w:tcPr>
          <w:p>
            <w:pPr>
              <w:spacing w:after="0"/>
              <w:rPr>
                <w:sz w:val="3"/>
                <w:szCs w:val="3"/>
                <w:color w:val="auto"/>
              </w:rPr>
            </w:pPr>
          </w:p>
        </w:tc>
        <w:tc>
          <w:tcPr>
            <w:tcW w:w="20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Hedging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utilize interest rate swaps, forward-starting swaps, options to enter into forward-starting swaps (“swaptions”), treasury locks and similar derivative instruments to manage our exposure to changes in interest rates charged on borrowings under certain consolidated debt agreements. This strategy may be used in controlling our overall cost of capital associated with such borrowings. As of the filing date of this quarterly report, we do not have any interest rate hedging instruments outstanding.</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our management carried out an evaluation, with the participation of (i) A. James Teague, Co-Chief Executive Officer of Enterprise GP, (ii) W. Randall Fowler, Co-Chief Executive Officer of Enterprise GP and (iii) R. Daniel Boss, Executive Vice President and Chief Financial Officer of Enterprise GP, of the effectiveness of our disclosure controls and procedures pursuant to Rule 13a-15 of the Securities Exchange Act of 1934. Based on this evaluation, as of the end of the period covered by this quarterly report, Messrs. Teague, Fowler and Boss concluded:</w:t>
      </w:r>
    </w:p>
    <w:p>
      <w:pPr>
        <w:spacing w:after="0" w:line="183" w:lineRule="exact"/>
        <w:rPr>
          <w:sz w:val="20"/>
          <w:szCs w:val="20"/>
          <w:color w:val="auto"/>
        </w:rPr>
      </w:pPr>
    </w:p>
    <w:p>
      <w:pPr>
        <w:jc w:val="both"/>
        <w:ind w:left="340" w:hanging="332"/>
        <w:spacing w:after="0" w:line="261" w:lineRule="auto"/>
        <w:tabs>
          <w:tab w:leader="none" w:pos="33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designed to ensure that information required to be disclosed by us in the reports that we file or submit under the Securities Exchange Act of 1934 is recorded, processed, summarized and reported within the time periods specified in the SEC’s rules and forms, and that such information is accumulated and communicated to our management, including our principal executive and financial officers, as appropriate to allow for timely decisions regarding required disclosures; and</w:t>
      </w:r>
    </w:p>
    <w:p>
      <w:pPr>
        <w:spacing w:after="0" w:line="17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our disclosure controls and procedures are effective.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 13a-15(f) under the Securities Exchange Act of 1934) during the first quarter of 2026, that have materially affected, or are reasonably likely to materially affect, our internal controls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and 906 Certifications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required certifications of Messrs. Teague, Fowler and Boss under Sections 302 and 906 of the Sarbanes-Oxley Act of 2002 are included as exhibits to this quarterly report (see Exhibits 31 and 32 under Part II, Item 6 of this quarterly report).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our normal business activities, we may be named as defendants in litigation and legal proceedings, including those arising from regulatory and environmental matters. Although we are insured against various risks to the extent we believe it is prudent, there is no assurance that the nature and amount of such insurance will be adequate, in every case, to indemnify us against liabilities arising from future legal proceedings. We will vigorously defend the Partnership in litigation matters.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our litigation matters, see Note 16 of the Notes to Unaudited Condensed Consolidated Financial Statements included under Part I, Item 1 of this quarterly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occasion, we are assessed monetary penalties by governmental authorities related to administrative or judicial proceedings involving environmental matters. The following information summarizes matters where the eventual resolution of each of these matters may result in monetary sanctions in excess of $0.3 million. We do not expect that any expenditures related to the following matters will be material to our consolidated financial statements.</w:t>
      </w:r>
    </w:p>
    <w:p>
      <w:pPr>
        <w:spacing w:after="0" w:line="176" w:lineRule="exact"/>
        <w:rPr>
          <w:sz w:val="20"/>
          <w:szCs w:val="20"/>
          <w:color w:val="auto"/>
        </w:rPr>
      </w:pPr>
    </w:p>
    <w:p>
      <w:pPr>
        <w:ind w:left="500" w:hanging="330"/>
        <w:spacing w:after="0" w:line="282" w:lineRule="auto"/>
        <w:tabs>
          <w:tab w:leader="none" w:pos="4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2019, we received a Notice of Violation from the U.S. Environmental Protection Agency (“EPA”) in connection with regulatory requirements applicable to facilities that we operate near Baton Rouge, Louisiana.</w:t>
      </w:r>
    </w:p>
    <w:p>
      <w:pPr>
        <w:spacing w:after="0" w:line="161"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we received a Notice of Violation from the U.S. EPA alleging that gasoline at two of our refined products terminals in Texas had exceeded certain Clean Air Act-related standards during two past regulatory control periods.</w:t>
      </w:r>
    </w:p>
    <w:p>
      <w:pPr>
        <w:spacing w:after="0" w:line="161" w:lineRule="exact"/>
        <w:rPr>
          <w:rFonts w:ascii="Times New Roman" w:cs="Times New Roman" w:eastAsia="Times New Roman" w:hAnsi="Times New Roman"/>
          <w:sz w:val="18"/>
          <w:szCs w:val="18"/>
          <w:color w:val="auto"/>
        </w:rPr>
      </w:pPr>
    </w:p>
    <w:p>
      <w:pPr>
        <w:jc w:val="both"/>
        <w:ind w:left="500" w:hanging="330"/>
        <w:spacing w:after="0" w:line="266" w:lineRule="auto"/>
        <w:tabs>
          <w:tab w:leader="none" w:pos="4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and January 2025, we received notices that the New Mexico Environment Department intended to pursue enforcement for alleged exceedances of emission limits, and alleged associated late emissions reports, at our recently acquired Pinon Midstream treating facility and compressor station on various occasions from 2021 through October 2024 (prior to our acquisition date).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investment in our securities involves certain risks. Security holders and potential investors in our securities should carefully consider the risks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set forth in Part I, Item 1A of our 2025 Form 10-K, in addition to other information in such annual report and this quarterly report. The risk factors set forth in our 2025 Form 10-K are important factors that could cause our actual results to differ materially from those contained in any written or oral forward-looking statements made by us or on our behalf.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Issuances of Unregistered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Series A Cumulative Convertible Preferred Units (“preferred units”) are entitled to receive cumulative quarterly distributions at a rate of 7.25% per annum. We may satisfy our obligation to pay distributions to the preferred unitholders through the issuance, in whole or in part, of additional preferred units (referred to as paid-in-kind or “PIK” distributions), with the remainder in cash, subject to certain rights of a holder to elect all cash and other conditions as described in our partnership agreement.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Partnership made quarterly PIK distributions to preferred unitholders in the first quarter of 2026 of 22,424 preferred units. All PIK distributions made during the first quarter of 2026 were to OTA Holdings, Inc. (“OTA”), an indirect, wholly owned subsidiary of the Partnership. The preferred units held by OTA are accounted for as treasury units in consolidation. For additional information regarding the preferred units, see Note 8 of the Notes to Unaudited Condensed Consolidated Financial Statements included under Part I, Item 1 of this quarterly report.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issuances of preferred units as PIK distributions during the first quarter of 2026 were undertaken in reliance upon an exemption from the registration requirements of the Securities Act of 1933, as amended, pursuant to Section 4(a)(2)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as described above, there were no sales of unregistered equity securities during the first quarter of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equity repurchase activity during the first quarter of 2026:</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Amount</w:t>
            </w:r>
          </w:p>
        </w:tc>
      </w:t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Units That May</w:t>
            </w: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 Purchased</w:t>
            </w: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5"/>
                <w:szCs w:val="15"/>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2019 Buyback</w:t>
            </w:r>
          </w:p>
        </w:tc>
      </w:tr>
      <w:tr>
        <w:trPr>
          <w:trHeight w:val="175"/>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28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2019 Buyback</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204"/>
        </w:trPr>
        <w:tc>
          <w:tcPr>
            <w:tcW w:w="4640" w:type="dxa"/>
            <w:vAlign w:val="bottom"/>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80" w:type="dxa"/>
            <w:vAlign w:val="bottom"/>
          </w:tcPr>
          <w:p>
            <w:pPr>
              <w:spacing w:after="0"/>
              <w:rPr>
                <w:sz w:val="17"/>
                <w:szCs w:val="17"/>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thousands)</w:t>
            </w:r>
          </w:p>
        </w:tc>
      </w:tr>
      <w:tr>
        <w:trPr>
          <w:trHeight w:val="30"/>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2019 Buyback Program: (1)</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4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4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January 2026</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3,562,647</w:t>
            </w:r>
          </w:p>
        </w:tc>
      </w:tr>
      <w:tr>
        <w:trPr>
          <w:trHeight w:val="193"/>
        </w:trPr>
        <w:tc>
          <w:tcPr>
            <w:tcW w:w="4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February 2026</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914,299</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35.18</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914,299</w:t>
            </w:r>
          </w:p>
        </w:tc>
        <w:tc>
          <w:tcPr>
            <w:tcW w:w="100" w:type="dxa"/>
            <w:vAlign w:val="bottom"/>
          </w:tcPr>
          <w:p>
            <w:pPr>
              <w:spacing w:after="0"/>
              <w:rPr>
                <w:sz w:val="16"/>
                <w:szCs w:val="16"/>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3,530,483</w:t>
            </w:r>
          </w:p>
        </w:tc>
      </w:tr>
      <w:tr>
        <w:trPr>
          <w:trHeight w:val="37"/>
        </w:trPr>
        <w:tc>
          <w:tcPr>
            <w:tcW w:w="4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9"/>
        </w:trPr>
        <w:tc>
          <w:tcPr>
            <w:tcW w:w="46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March 2026</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2,209,893</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37.43</w:t>
            </w:r>
          </w:p>
        </w:tc>
        <w:tc>
          <w:tcPr>
            <w:tcW w:w="8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2,209,893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3,447,761</w:t>
            </w:r>
          </w:p>
        </w:tc>
      </w:tr>
      <w:tr>
        <w:trPr>
          <w:trHeight w:val="193"/>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of phantom unit awards:</w:t>
            </w: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7"/>
        </w:trPr>
        <w:tc>
          <w:tcPr>
            <w:tcW w:w="4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0"/>
        </w:trPr>
        <w:tc>
          <w:tcPr>
            <w:tcW w:w="4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February 2026 (2)</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2,254,919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36.62</w:t>
            </w:r>
          </w:p>
        </w:tc>
        <w:tc>
          <w:tcPr>
            <w:tcW w:w="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gridSpan w:val="2"/>
            <w:shd w:val="clear" w:color="auto" w:fill="CCEEFF"/>
          </w:tcPr>
          <w:p>
            <w:pPr>
              <w:ind w:left="1400"/>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93"/>
        </w:trPr>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March 2026 (3)</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36.14</w:t>
            </w:r>
          </w:p>
        </w:tc>
        <w:tc>
          <w:tcPr>
            <w:tcW w:w="80" w:type="dxa"/>
            <w:vAlign w:val="bottom"/>
          </w:tcPr>
          <w:p>
            <w:pPr>
              <w:spacing w:after="0"/>
              <w:rPr>
                <w:sz w:val="16"/>
                <w:szCs w:val="16"/>
                <w:color w:val="auto"/>
              </w:rPr>
            </w:pPr>
          </w:p>
        </w:tc>
        <w:tc>
          <w:tcPr>
            <w:tcW w:w="1680" w:type="dxa"/>
            <w:vAlign w:val="bottom"/>
            <w:gridSpan w:val="2"/>
          </w:tcPr>
          <w:p>
            <w:pPr>
              <w:ind w:left="1400"/>
              <w:spacing w:after="0"/>
              <w:rPr>
                <w:sz w:val="20"/>
                <w:szCs w:val="20"/>
                <w:color w:val="auto"/>
              </w:rPr>
            </w:pPr>
            <w:r>
              <w:rPr>
                <w:rFonts w:ascii="Times New Roman" w:cs="Times New Roman" w:eastAsia="Times New Roman" w:hAnsi="Times New Roman"/>
                <w:sz w:val="14"/>
                <w:szCs w:val="14"/>
                <w:color w:val="auto"/>
              </w:rPr>
              <w:t>n/a</w:t>
            </w: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8" w:lineRule="exact"/>
        <w:rPr>
          <w:sz w:val="20"/>
          <w:szCs w:val="20"/>
          <w:color w:val="auto"/>
        </w:rPr>
      </w:pPr>
    </w:p>
    <w:p>
      <w:pPr>
        <w:jc w:val="both"/>
        <w:ind w:left="420" w:hanging="412"/>
        <w:spacing w:after="0" w:line="261" w:lineRule="auto"/>
        <w:tabs>
          <w:tab w:leader="none" w:pos="4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January 2019, we announced the 2019 Buyback Program, which authorized the repurchase of up to $2 billion of the Partnership’s common units. In October 2025, we announced that the 2019 Buyback Program was increased to authorize the repurchase of up to $5 billion of the Partnership’s common units. After giving effect to this increase, the remaining available capacity under the 2019 Buyback Program is $3.4 billion. Units repurchased under this program are cancelled immediately upon acquisition.</w:t>
      </w:r>
    </w:p>
    <w:p>
      <w:pPr>
        <w:ind w:left="420" w:right="20" w:hanging="412"/>
        <w:spacing w:after="0" w:line="261" w:lineRule="auto"/>
        <w:tabs>
          <w:tab w:leader="none" w:pos="4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7,118,344 phantom unit awards that vested in February 2026 and converted to common units, 2,254,919 units were sold back to us by employees to cover related withholding tax requirements. These repurchases are not part of any announced program. We cancelled these units immediately upon acquisition.</w:t>
      </w:r>
    </w:p>
    <w:p>
      <w:pPr>
        <w:ind w:left="420" w:hanging="412"/>
        <w:spacing w:after="0" w:line="263" w:lineRule="auto"/>
        <w:tabs>
          <w:tab w:leader="none" w:pos="412"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 4,075 phantom unit awards that vested in March 2026 and converted to common units, 1,080 units were sold back to us by employees to cover related withholding tax requirements. These repurchases are not part of any announced program. We cancelled these units immediately upon acquisition.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(as defined in Rule 16a-1(f) of the Securities Exchange Act of 1934) of Enterprise GP adopted or terminated a “Rule 10b5-1 trading arrangement” or “non-Rule 10b5-1 trading arrangement,” as each term is defined in Item 408(a) of Regulation S-K.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80" w:type="dxa"/>
            <w:vAlign w:val="bottom"/>
            <w:gridSpan w:val="8"/>
          </w:tcPr>
          <w:p>
            <w:pPr>
              <w:ind w:left="860"/>
              <w:spacing w:after="0"/>
              <w:rPr>
                <w:sz w:val="20"/>
                <w:szCs w:val="20"/>
                <w:color w:val="auto"/>
              </w:rPr>
            </w:pPr>
            <w:r>
              <w:rPr>
                <w:rFonts w:ascii="Times New Roman" w:cs="Times New Roman" w:eastAsia="Times New Roman" w:hAnsi="Times New Roman"/>
                <w:sz w:val="18"/>
                <w:szCs w:val="18"/>
                <w:b w:val="1"/>
                <w:bCs w:val="1"/>
                <w:color w:val="auto"/>
              </w:rPr>
              <w:t>ITEM 6. EXHIBITS.</w:t>
            </w:r>
          </w:p>
        </w:tc>
      </w:tr>
      <w:tr>
        <w:trPr>
          <w:trHeight w:val="464"/>
        </w:trPr>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400" w:type="dxa"/>
            <w:vAlign w:val="bottom"/>
            <w:gridSpan w:val="7"/>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34"/>
        </w:trPr>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03"/>
        </w:trPr>
        <w:tc>
          <w:tcPr>
            <w:tcW w:w="1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2.1</w:t>
            </w:r>
          </w:p>
        </w:tc>
        <w:tc>
          <w:tcPr>
            <w:tcW w:w="9980" w:type="dxa"/>
            <w:vAlign w:val="bottom"/>
            <w:tcBorders>
              <w:bottom w:val="single" w:sz="8" w:color="0000FF"/>
            </w:tcBorders>
            <w:gridSpan w:val="12"/>
          </w:tcPr>
          <w:p>
            <w:pPr>
              <w:spacing w:after="0" w:line="202"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Merger Agreement, dated as of December 15, 2003, by and among Enterprise Products Partners L.P., Enterprise Products GP, LLC,</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Enterprise Products Management LLC, GulfTerra Energy Partners, L.P. and GulfTerra Energy Company, L.L.C. (incorporated by</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reference to Exhibit 2.1 to Form 8-K filed December 15, 2003).</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9980" w:type="dxa"/>
            <w:vAlign w:val="bottom"/>
            <w:gridSpan w:val="1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Amendment No. 1 to Merger Agreement, dated as of August 31, 2004, by and among Enterprise Products Partners L.P., Enterprise</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Products GP, LLC, Enterprise Products Management LLC, GulfTerra Energy Partners, L.P. and GulfTerra Energy Company, L.L.C.</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(incorporated by reference to Exhibit 2.1 to Form 8-K filed September 7, 2004).</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0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Parent Company Agreement, dated as of December 15, 2003, by and among Enterprise Products Partners L.P., Enterprise Products GP,</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LLC, Enterprise Products GTM, LLC, El Paso Corporation, Sabine River Investors I, L.L.C., Sabine River Investors II, L.L.C., El Paso</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EPN Investments, L.L.C. and GulfTerra GP Holding Company (incorporated by reference to Exhibit 2.2 to Form 8-K filed December 15,</w:t>
              </w:r>
            </w:hyperlink>
          </w:p>
        </w:tc>
      </w:tr>
      <w:tr>
        <w:trPr>
          <w:trHeight w:val="196"/>
        </w:trPr>
        <w:tc>
          <w:tcPr>
            <w:tcW w:w="126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2003).</w:t>
              </w:r>
            </w:hyperlink>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Amendment No. 1 to Parent Company Agreement, dated as of April 19, 2004, by and among Enterprise Products Partners L.P.,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Products GP, LLC, Enterprise Products GTM, LLC, El Paso Corporation, Sabine River Investors I, L.L.C., Sabine River Investors II,</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L.L.C., El Paso EPN Investments, L.L.C. and GulfTerra GP Holding Company (incorporated by reference to Exhibit 2.1 to Form 8-K</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filed April 21, 2004).</w:t>
              </w:r>
            </w:hyperlink>
          </w:p>
        </w:tc>
      </w:tr>
      <w:tr>
        <w:trPr>
          <w:trHeight w:val="20"/>
        </w:trPr>
        <w:tc>
          <w:tcPr>
            <w:tcW w:w="1260" w:type="dxa"/>
            <w:vAlign w:val="bottom"/>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Purchase and Sale Agreement (Gas Plants), dated as of December 15, 2003, by and between El Paso Corporation, El Paso Field Services</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Management, Inc., El Paso Transmission, L.L.C., El Paso Field Services Holding Company and Enterprise Products Operating L.P.</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to Exhibit 2.4 to Form 8-K filed December 15, 2003).</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Agreement and Plan of Merger, dated as of June 28, 2009, by and among Enterprise Products Partners L.P., Enterprise Products GP, LLC,</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Enterprise Sub B LLC, TEPPCO Partners, L.P. and Texas Eastern Products Pipeline Company, LLC (incorporated by reference to Exhibit</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8-K filed June 29, 2009).</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Agreement and Plan of Merger, dated as of June 28, 2009, by and among Enterprise Products Partners L.P., Enterprise Products GP, LLC,</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Enterprise Sub A LLC, TEPPCO Partners, L.P. and Texas Eastern Products Pipeline Company, LLC (incorporated by reference to Exhibit</w:t>
              </w:r>
            </w:hyperlink>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Form 8-K filed June 29, 2009).</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2.8</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Agreement and Plan of Merger, dated as of September 3, 2010, by and among Enterprise Products Partners L.P., Enterprise Products GP,</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LLC, Enterprise ETE LLC, Enterprise GP Holdings L.P. and EPE Holdings, LLC (incorporated by reference to Exhibit 2.1 to Form 8-K</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filed September 7, 2010).</w:t>
              </w:r>
            </w:hyperlink>
          </w:p>
        </w:tc>
      </w:tr>
      <w:tr>
        <w:trPr>
          <w:trHeight w:val="20"/>
        </w:trPr>
        <w:tc>
          <w:tcPr>
            <w:tcW w:w="1260" w:type="dxa"/>
            <w:vAlign w:val="bottom"/>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99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Agreement and Plan of Merger, dated as of September 3, 2010, by and among Enterprise Products GP, LLC, Enterprise GP Holdings L.P.</w:t>
              </w:r>
            </w:hyperlink>
          </w:p>
        </w:tc>
      </w:tr>
      <w:tr>
        <w:trPr>
          <w:trHeight w:val="196"/>
        </w:trPr>
        <w:tc>
          <w:tcPr>
            <w:tcW w:w="1260" w:type="dxa"/>
            <w:vAlign w:val="bottom"/>
          </w:tcPr>
          <w:p>
            <w:pPr>
              <w:spacing w:after="0"/>
              <w:rPr>
                <w:sz w:val="17"/>
                <w:szCs w:val="17"/>
                <w:color w:val="auto"/>
              </w:rPr>
            </w:pPr>
          </w:p>
        </w:tc>
        <w:tc>
          <w:tcPr>
            <w:tcW w:w="75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and EPE Holdings, LLC (incorporated by reference to Exhibit 2.2 to Form 8-K filed September 7, 2010).</w:t>
              </w:r>
            </w:hyperlink>
          </w:p>
        </w:tc>
        <w:tc>
          <w:tcPr>
            <w:tcW w:w="2400" w:type="dxa"/>
            <w:vAlign w:val="bottom"/>
            <w:gridSpan w:val="3"/>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2.10</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Contribution Agreement, dated as of September 30, 2010, by and between Enterprise Products Company and Enterprise Products Partners</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2"/>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L.P. (incorporated by reference to Exhibit 2.1 to Form 8-K filed October 1, 2010).</w:t>
              </w:r>
            </w:hyperlink>
          </w:p>
        </w:tc>
      </w:tr>
      <w:tr>
        <w:trPr>
          <w:trHeight w:val="736"/>
        </w:trPr>
        <w:tc>
          <w:tcPr>
            <w:tcW w:w="1260" w:type="dxa"/>
            <w:vAlign w:val="bottom"/>
          </w:tcPr>
          <w:p>
            <w:pPr>
              <w:spacing w:after="0"/>
              <w:rPr>
                <w:sz w:val="24"/>
                <w:szCs w:val="24"/>
                <w:color w:val="auto"/>
              </w:rPr>
            </w:pPr>
          </w:p>
        </w:tc>
        <w:tc>
          <w:tcPr>
            <w:tcW w:w="4580" w:type="dxa"/>
            <w:vAlign w:val="bottom"/>
            <w:tcBorders>
              <w:top w:val="single" w:sz="8" w:color="0000FF"/>
            </w:tcBorders>
            <w:gridSpan w:val="5"/>
          </w:tcPr>
          <w:p>
            <w:pPr>
              <w:ind w:left="4280"/>
              <w:spacing w:after="0"/>
              <w:rPr>
                <w:sz w:val="20"/>
                <w:szCs w:val="20"/>
                <w:color w:val="auto"/>
              </w:rPr>
            </w:pPr>
            <w:r>
              <w:rPr>
                <w:rFonts w:ascii="Times New Roman" w:cs="Times New Roman" w:eastAsia="Times New Roman" w:hAnsi="Times New Roman"/>
                <w:sz w:val="18"/>
                <w:szCs w:val="18"/>
                <w:color w:val="auto"/>
              </w:rPr>
              <w:t>63</w:t>
            </w:r>
          </w:p>
        </w:tc>
        <w:tc>
          <w:tcPr>
            <w:tcW w:w="1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Agreement and Plan of Merger, dated as of April 28, 2011, by and among Enterprise Products Partners L.P., Enterprise Products Holdings</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LLC, EPD MergerCo LLC, Duncan Energy Partners L.P. and DEP Holdings, LLC (incorporated by reference to Exhibit 2.1 to Form 8-K</w:t>
              </w:r>
            </w:hyperlink>
          </w:p>
        </w:tc>
      </w:tr>
      <w:tr>
        <w:trPr>
          <w:trHeight w:val="196"/>
        </w:trPr>
        <w:tc>
          <w:tcPr>
            <w:tcW w:w="1260" w:type="dxa"/>
            <w:vAlign w:val="bottom"/>
          </w:tcPr>
          <w:p>
            <w:pPr>
              <w:spacing w:after="0"/>
              <w:rPr>
                <w:sz w:val="17"/>
                <w:szCs w:val="17"/>
                <w:color w:val="auto"/>
              </w:rPr>
            </w:pPr>
          </w:p>
        </w:tc>
        <w:tc>
          <w:tcPr>
            <w:tcW w:w="15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145">
              <w:r>
                <w:rPr>
                  <w:rFonts w:ascii="Times New Roman" w:cs="Times New Roman" w:eastAsia="Times New Roman" w:hAnsi="Times New Roman"/>
                  <w:sz w:val="18"/>
                  <w:szCs w:val="18"/>
                  <w:color w:val="0000FF"/>
                  <w:w w:val="98"/>
                </w:rPr>
                <w:t>filed April 29, 2011).</w:t>
              </w:r>
            </w:hyperlink>
          </w:p>
        </w:tc>
        <w:tc>
          <w:tcPr>
            <w:tcW w:w="8440" w:type="dxa"/>
            <w:vAlign w:val="bottom"/>
            <w:gridSpan w:val="17"/>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2.12</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Contribution and Purchase Agreement, dated as of October 1, 2014, by and among Enterprise Products Partners L.P., Oiltanking Holding</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84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Americas, Inc. and OTB Holdco, LLC (incorporated by reference to Exhibit 2.1 to Form 8-K filed October 1, 2014).</w:t>
              </w:r>
            </w:hyperlink>
          </w:p>
        </w:tc>
        <w:tc>
          <w:tcPr>
            <w:tcW w:w="1580" w:type="dxa"/>
            <w:vAlign w:val="bottom"/>
            <w:gridSpan w:val="6"/>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2.13</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Agreement and Plan of Merger, dated as of November 11, 2014, by and among Enterprise Products Partners L.P., Enterprise Products</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Holdings LLC, EPOT MergerCo LLC, Oiltanking Partners, L.P. and OTLP GP, LLC (incorporated by reference to Exhibit 2.1 to Form 8-</w:t>
              </w:r>
            </w:hyperlink>
          </w:p>
        </w:tc>
      </w:tr>
      <w:tr>
        <w:trPr>
          <w:trHeight w:val="196"/>
        </w:trPr>
        <w:tc>
          <w:tcPr>
            <w:tcW w:w="126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K filed November 12, 2014).</w:t>
              </w:r>
            </w:hyperlink>
          </w:p>
        </w:tc>
        <w:tc>
          <w:tcPr>
            <w:tcW w:w="7880" w:type="dxa"/>
            <w:vAlign w:val="bottom"/>
            <w:gridSpan w:val="14"/>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2.14</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1 dated as of June 6, 2018 to Contribution and Purchase Agreement, by and among Enterprise Products Partners L.P.,</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Oiltanking Holding Americas, Inc., Enterprise Products Holdings LLC and Marquard &amp; Bahls, AG (incorporated by reference to Exhibit</w:t>
              </w:r>
            </w:hyperlink>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Form 8-K filed June 12, 2018).</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Certificate of Limited Partnership of Enterprise Products Partners L.P. (incorporated by reference to Exhibit 3.6 to Form 10-Q filed</w:t>
              </w:r>
            </w:hyperlink>
          </w:p>
        </w:tc>
      </w:tr>
      <w:tr>
        <w:trPr>
          <w:trHeight w:val="196"/>
        </w:trPr>
        <w:tc>
          <w:tcPr>
            <w:tcW w:w="1260" w:type="dxa"/>
            <w:vAlign w:val="bottom"/>
          </w:tcPr>
          <w:p>
            <w:pPr>
              <w:spacing w:after="0"/>
              <w:rPr>
                <w:sz w:val="17"/>
                <w:szCs w:val="17"/>
                <w:color w:val="auto"/>
              </w:rPr>
            </w:pPr>
          </w:p>
        </w:tc>
        <w:tc>
          <w:tcPr>
            <w:tcW w:w="14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November 9, 2007).</w:t>
              </w:r>
            </w:hyperlink>
          </w:p>
        </w:tc>
        <w:tc>
          <w:tcPr>
            <w:tcW w:w="8520" w:type="dxa"/>
            <w:vAlign w:val="bottom"/>
            <w:gridSpan w:val="18"/>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Certificate of Amendment to Certificate of Limited Partnership of Enterprise Products Partners L.P., filed on November 22, 2010 with the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Delaware Secretary of State (incorporated by reference to Exhibit 3.6 to Form 8-K filed November 23, 2010).</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Seventh Amended and Restated Agreement of Limited Partnership of Enterprise Products Partners L.P., dated as of September 30, 2020</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5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(incorporated by reference to Exhibit 3.1 to Form 8-K filed October 1, 2020).</w:t>
              </w:r>
            </w:hyperlink>
          </w:p>
        </w:tc>
        <w:tc>
          <w:tcPr>
            <w:tcW w:w="4400" w:type="dxa"/>
            <w:vAlign w:val="bottom"/>
            <w:gridSpan w:val="10"/>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Certificate of Formation of Enterprise Products Holdings LLC (formerly named EPE Holdings, LLC) (incorporated by reference to</w:t>
              </w:r>
            </w:hyperlink>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Exhibit 3.3 to Form S-1/A Registration Statement, Reg. No. 333-124320, filed by Enterprise GP Holdings L.P. on July 22, 2005).</w:t>
              </w:r>
            </w:hyperlink>
          </w:p>
        </w:tc>
      </w:tr>
      <w:tr>
        <w:trPr>
          <w:trHeight w:val="20"/>
        </w:trPr>
        <w:tc>
          <w:tcPr>
            <w:tcW w:w="12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Certificate of Amendment to Certificate of Formation of Enterprise Products Holdings LLC (formerly named EPE Holdings, LLC), filed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on November 22, 2010 with the Delaware Secretary of State (incorporated by reference to Exhibit 3.5 to Form 8-K filed November 23,</w:t>
              </w:r>
            </w:hyperlink>
          </w:p>
        </w:tc>
      </w:tr>
      <w:tr>
        <w:trPr>
          <w:trHeight w:val="196"/>
        </w:trPr>
        <w:tc>
          <w:tcPr>
            <w:tcW w:w="126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53">
              <w:r>
                <w:rPr>
                  <w:rFonts w:ascii="Times New Roman" w:cs="Times New Roman" w:eastAsia="Times New Roman" w:hAnsi="Times New Roman"/>
                  <w:sz w:val="18"/>
                  <w:szCs w:val="18"/>
                  <w:color w:val="0000FF"/>
                  <w:w w:val="98"/>
                </w:rPr>
                <w:t>2010).</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Sixth Amended and Restated Limited Liability Company Agreement of Enterprise Products Holdings LLC dated effective as of August 9,</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2022 (incorporated by reference to Exhibit 3.9 to Form 10-Q filed August 9, 2022).</w:t>
              </w:r>
            </w:hyperlink>
          </w:p>
        </w:tc>
        <w:tc>
          <w:tcPr>
            <w:tcW w:w="3960" w:type="dxa"/>
            <w:vAlign w:val="bottom"/>
            <w:gridSpan w:val="9"/>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3.7</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Company Agreement of Enterprise Products Operating LLC dated June 30, 2007 (incorporated by reference to Exhibit 3.3 to Form 10-Q</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6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filed August 8, 2007).</w:t>
              </w:r>
            </w:hyperlink>
          </w:p>
        </w:tc>
        <w:tc>
          <w:tcPr>
            <w:tcW w:w="8380" w:type="dxa"/>
            <w:vAlign w:val="bottom"/>
            <w:gridSpan w:val="16"/>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3.8</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Certificate of Incorporation of Enterprise Products OLPGP, Inc., dated December 3, 2003 (incorporated by reference to Exhibit 3.5 to</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0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Form S-4 Registration Statement, Reg. No. 333-121665, filed December 27, 2004).</w:t>
              </w:r>
            </w:hyperlink>
          </w:p>
        </w:tc>
        <w:tc>
          <w:tcPr>
            <w:tcW w:w="3960" w:type="dxa"/>
            <w:vAlign w:val="bottom"/>
            <w:gridSpan w:val="9"/>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3.9</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Bylaws of Enterprise Products OLPGP, Inc., dated December 8, 2003 (incorporated by reference to Exhibit 3.6 to Form S-4 Registration</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20"/>
          </w:tcPr>
          <w:p>
            <w:pPr>
              <w:spacing w:after="0" w:line="19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Statement, Reg. No. 333-121665, filed December 27, 2004).</w:t>
              </w:r>
            </w:hyperlink>
          </w:p>
        </w:tc>
      </w:tr>
      <w:tr>
        <w:trPr>
          <w:trHeight w:val="20"/>
        </w:trPr>
        <w:tc>
          <w:tcPr>
            <w:tcW w:w="1260" w:type="dxa"/>
            <w:vAlign w:val="bottom"/>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20"/>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Form of Common Unit certificate (incorporated by reference to Exhibit A to Exhibit 3.1 to Form 8-K filed October 1, 2020).</w:t>
              </w:r>
            </w:hyperlink>
          </w:p>
        </w:tc>
      </w:tr>
      <w:tr>
        <w:trPr>
          <w:trHeight w:val="20"/>
        </w:trPr>
        <w:tc>
          <w:tcPr>
            <w:tcW w:w="1260" w:type="dxa"/>
            <w:vAlign w:val="bottom"/>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960" w:type="dxa"/>
            <w:vAlign w:val="bottom"/>
            <w:gridSpan w:val="4"/>
            <w:shd w:val="clear" w:color="auto" w:fill="0000FF"/>
          </w:tcPr>
          <w:p>
            <w:pPr>
              <w:spacing w:after="0" w:line="20" w:lineRule="exact"/>
              <w:rPr>
                <w:sz w:val="1"/>
                <w:szCs w:val="1"/>
                <w:color w:val="auto"/>
              </w:rPr>
            </w:pPr>
          </w:p>
        </w:tc>
        <w:tc>
          <w:tcPr>
            <w:tcW w:w="2420" w:type="dxa"/>
            <w:vAlign w:val="bottom"/>
            <w:gridSpan w:val="3"/>
            <w:shd w:val="clear" w:color="auto" w:fill="0000FF"/>
          </w:tcPr>
          <w:p>
            <w:pPr>
              <w:spacing w:after="0" w:line="20" w:lineRule="exact"/>
              <w:rPr>
                <w:sz w:val="1"/>
                <w:szCs w:val="1"/>
                <w:color w:val="auto"/>
              </w:rPr>
            </w:pPr>
          </w:p>
        </w:tc>
        <w:tc>
          <w:tcPr>
            <w:tcW w:w="196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Description of the Registrant’s Securities Registered Pursuant to Section 12 of the Securities Exchange Act of 1934 (incorporated by</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46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reference to Exhibit 4.2 to Form 10-K filed February 28, 2020).</w:t>
              </w:r>
            </w:hyperlink>
          </w:p>
        </w:tc>
        <w:tc>
          <w:tcPr>
            <w:tcW w:w="5380" w:type="dxa"/>
            <w:vAlign w:val="bottom"/>
            <w:gridSpan w:val="11"/>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Indenture, dated as of March 15, 2000, among Enterprise Products Operating L.P., as Issuer, Enterprise Products Partners L.P., as</w:t>
              </w:r>
            </w:hyperlink>
          </w:p>
        </w:tc>
      </w:tr>
      <w:tr>
        <w:trPr>
          <w:trHeight w:val="196"/>
        </w:trPr>
        <w:tc>
          <w:tcPr>
            <w:tcW w:w="1260" w:type="dxa"/>
            <w:vAlign w:val="bottom"/>
          </w:tcPr>
          <w:p>
            <w:pPr>
              <w:spacing w:after="0"/>
              <w:rPr>
                <w:sz w:val="17"/>
                <w:szCs w:val="17"/>
                <w:color w:val="auto"/>
              </w:rPr>
            </w:pPr>
          </w:p>
        </w:tc>
        <w:tc>
          <w:tcPr>
            <w:tcW w:w="946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Guarantor, and First Union National Bank, as Trustee (incorporated by reference to Exhibit 4.1 to Form 8-K filed March 14, 2000).</w:t>
              </w:r>
            </w:hyperlink>
          </w:p>
        </w:tc>
        <w:tc>
          <w:tcPr>
            <w:tcW w:w="520" w:type="dxa"/>
            <w:vAlign w:val="bottom"/>
            <w:gridSpan w:val="3"/>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Second Supplemental Indenture, dated as of February 14, 2003, among Enterprise Products Operating L.P., as Issuer, Enterprise Products</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Partners L.P., as Guarantor, and Wachovia Bank, National Association, as Trustee (incorporated by reference to Exhibit 4.3 to Form 10-K</w:t>
              </w:r>
            </w:hyperlink>
          </w:p>
        </w:tc>
      </w:tr>
      <w:tr>
        <w:trPr>
          <w:trHeight w:val="196"/>
        </w:trPr>
        <w:tc>
          <w:tcPr>
            <w:tcW w:w="1260" w:type="dxa"/>
            <w:vAlign w:val="bottom"/>
          </w:tcPr>
          <w:p>
            <w:pPr>
              <w:spacing w:after="0"/>
              <w:rPr>
                <w:sz w:val="17"/>
                <w:szCs w:val="17"/>
                <w:color w:val="auto"/>
              </w:rPr>
            </w:pPr>
          </w:p>
        </w:tc>
        <w:tc>
          <w:tcPr>
            <w:tcW w:w="16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filed March 31, 2003).</w:t>
              </w:r>
            </w:hyperlink>
          </w:p>
        </w:tc>
        <w:tc>
          <w:tcPr>
            <w:tcW w:w="8340" w:type="dxa"/>
            <w:vAlign w:val="bottom"/>
            <w:gridSpan w:val="15"/>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9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Third Supplemental Indenture, dated as of June 30, 2007, among Enterprise Products Operating L.P., as Original Issuer,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Products Partners L.P., as Parent Guarantor, Enterprise Products Operating LLC, as New Issuer, and U.S. Bank National Association, as</w:t>
              </w:r>
            </w:hyperlink>
          </w:p>
        </w:tc>
      </w:tr>
      <w:tr>
        <w:trPr>
          <w:trHeight w:val="196"/>
        </w:trPr>
        <w:tc>
          <w:tcPr>
            <w:tcW w:w="1260" w:type="dxa"/>
            <w:vAlign w:val="bottom"/>
          </w:tcPr>
          <w:p>
            <w:pPr>
              <w:spacing w:after="0"/>
              <w:rPr>
                <w:sz w:val="17"/>
                <w:szCs w:val="17"/>
                <w:color w:val="auto"/>
              </w:rPr>
            </w:pPr>
          </w:p>
        </w:tc>
        <w:tc>
          <w:tcPr>
            <w:tcW w:w="70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successor Trustee (incorporated by reference to Exhibit 4.55 to Form 10-Q filed August 8, 2007).</w:t>
              </w:r>
            </w:hyperlink>
          </w:p>
        </w:tc>
        <w:tc>
          <w:tcPr>
            <w:tcW w:w="2960" w:type="dxa"/>
            <w:vAlign w:val="bottom"/>
            <w:gridSpan w:val="8"/>
          </w:tcPr>
          <w:p>
            <w:pPr>
              <w:spacing w:after="0"/>
              <w:rPr>
                <w:sz w:val="17"/>
                <w:szCs w:val="17"/>
                <w:color w:val="auto"/>
              </w:rPr>
            </w:pPr>
          </w:p>
        </w:tc>
      </w:tr>
      <w:tr>
        <w:trPr>
          <w:trHeight w:val="250"/>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99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Indenture, dated as of October 4, 2004, among Enterprise Products Operating L.P., as Issuer, Enterprise Products Partners L.P., as Parent</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Guarantor, and Wells Fargo Bank, National Association, as Trustee (incorporated by reference to Exhibit 4.1 to Form 8-K filed October 6,</w:t>
              </w:r>
            </w:hyperlink>
          </w:p>
        </w:tc>
      </w:tr>
      <w:tr>
        <w:trPr>
          <w:trHeight w:val="196"/>
        </w:trPr>
        <w:tc>
          <w:tcPr>
            <w:tcW w:w="1260" w:type="dxa"/>
            <w:vAlign w:val="bottom"/>
          </w:tcPr>
          <w:p>
            <w:pPr>
              <w:spacing w:after="0"/>
              <w:rPr>
                <w:sz w:val="17"/>
                <w:szCs w:val="17"/>
                <w:color w:val="auto"/>
              </w:rPr>
            </w:pPr>
          </w:p>
        </w:tc>
        <w:tc>
          <w:tcPr>
            <w:tcW w:w="4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162">
              <w:r>
                <w:rPr>
                  <w:rFonts w:ascii="Times New Roman" w:cs="Times New Roman" w:eastAsia="Times New Roman" w:hAnsi="Times New Roman"/>
                  <w:sz w:val="18"/>
                  <w:szCs w:val="18"/>
                  <w:color w:val="0000FF"/>
                  <w:w w:val="98"/>
                </w:rPr>
                <w:t>2004).</w:t>
              </w:r>
            </w:hyperlink>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4600" w:type="dxa"/>
            <w:vAlign w:val="bottom"/>
            <w:gridSpan w:val="9"/>
          </w:tcPr>
          <w:p>
            <w:pPr>
              <w:ind w:left="4280"/>
              <w:spacing w:after="0"/>
              <w:rPr>
                <w:sz w:val="20"/>
                <w:szCs w:val="20"/>
                <w:color w:val="auto"/>
              </w:rPr>
            </w:pPr>
            <w:r>
              <w:rPr>
                <w:rFonts w:ascii="Times New Roman" w:cs="Times New Roman" w:eastAsia="Times New Roman" w:hAnsi="Times New Roman"/>
                <w:sz w:val="18"/>
                <w:szCs w:val="18"/>
                <w:color w:val="auto"/>
              </w:rPr>
              <w:t>64</w:t>
            </w: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Fourth Supplemental Indenture, dated as of October 4, 2004, among Enterprise Products Operating L.P., as Issuer, Enterprise Products</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Partners L.P., as Parent Guarantor, and Wells Fargo Bank, National Association, as Trustee (incorporated by reference to Exhibit 4.5 to</w:t>
              </w:r>
            </w:hyperlink>
          </w:p>
        </w:tc>
      </w:tr>
      <w:tr>
        <w:trPr>
          <w:trHeight w:val="196"/>
        </w:trPr>
        <w:tc>
          <w:tcPr>
            <w:tcW w:w="1240" w:type="dxa"/>
            <w:vAlign w:val="bottom"/>
          </w:tcPr>
          <w:p>
            <w:pPr>
              <w:spacing w:after="0"/>
              <w:rPr>
                <w:sz w:val="17"/>
                <w:szCs w:val="17"/>
                <w:color w:val="auto"/>
              </w:rPr>
            </w:pPr>
          </w:p>
        </w:tc>
        <w:tc>
          <w:tcPr>
            <w:tcW w:w="2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Form 8-K filed October 6, 2004).</w:t>
              </w:r>
            </w:hyperlink>
          </w:p>
        </w:tc>
        <w:tc>
          <w:tcPr>
            <w:tcW w:w="7540" w:type="dxa"/>
            <w:vAlign w:val="bottom"/>
            <w:gridSpan w:val="9"/>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Sixth Supplemental Indenture, dated as of March 2, 2005, among Enterprise Products Operating L.P., as Issuer, Enterprise Products</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Partners L.P., as Parent Guarantor, and Wells Fargo Bank, National Association, as Trustee (incorporated by reference to Exhibit 4.3 to</w:t>
              </w:r>
            </w:hyperlink>
          </w:p>
        </w:tc>
      </w:tr>
      <w:tr>
        <w:trPr>
          <w:trHeight w:val="196"/>
        </w:trPr>
        <w:tc>
          <w:tcPr>
            <w:tcW w:w="124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Form 8-K filed March 3, 2005).</w:t>
              </w:r>
            </w:hyperlink>
          </w:p>
        </w:tc>
      </w:tr>
      <w:tr>
        <w:trPr>
          <w:trHeight w:val="20"/>
        </w:trPr>
        <w:tc>
          <w:tcPr>
            <w:tcW w:w="124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Tenth Supplemental Indenture, dated as of June 30, 2007, among Enterprise Products Operating L.P., as Original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Products Partners L.P., as Parent Guarantor, Enterprise Products Operating LLC, as New Issuer, and Wells Fargo Bank, National</w:t>
              </w:r>
            </w:hyperlink>
          </w:p>
        </w:tc>
      </w:tr>
      <w:tr>
        <w:trPr>
          <w:trHeight w:val="196"/>
        </w:trPr>
        <w:tc>
          <w:tcPr>
            <w:tcW w:w="1240" w:type="dxa"/>
            <w:vAlign w:val="bottom"/>
          </w:tcPr>
          <w:p>
            <w:pPr>
              <w:spacing w:after="0"/>
              <w:rPr>
                <w:sz w:val="17"/>
                <w:szCs w:val="17"/>
                <w:color w:val="auto"/>
              </w:rPr>
            </w:pPr>
          </w:p>
        </w:tc>
        <w:tc>
          <w:tcPr>
            <w:tcW w:w="74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Association, as Trustee (incorporated by reference to Exhibit 4.54 to Form 10-Q filed August 8, 2007).</w:t>
              </w:r>
            </w:hyperlink>
          </w:p>
        </w:tc>
        <w:tc>
          <w:tcPr>
            <w:tcW w:w="2540" w:type="dxa"/>
            <w:vAlign w:val="bottom"/>
            <w:gridSpan w:val="2"/>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Sixteenth Supplemental Indenture, dated as of October 5, 2009, among Enterprise Products Operating LLC, as Issuer, Enterprise Products</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Partners L.P., as Parent Guarantor, and Wells Fargo Bank, National Association, as Trustee (incorporated by reference to Exhibit 4.3 to</w:t>
              </w:r>
            </w:hyperlink>
          </w:p>
        </w:tc>
      </w:tr>
      <w:tr>
        <w:trPr>
          <w:trHeight w:val="196"/>
        </w:trPr>
        <w:tc>
          <w:tcPr>
            <w:tcW w:w="1240" w:type="dxa"/>
            <w:vAlign w:val="bottom"/>
          </w:tcPr>
          <w:p>
            <w:pPr>
              <w:spacing w:after="0"/>
              <w:rPr>
                <w:sz w:val="17"/>
                <w:szCs w:val="17"/>
                <w:color w:val="auto"/>
              </w:rPr>
            </w:pPr>
          </w:p>
        </w:tc>
        <w:tc>
          <w:tcPr>
            <w:tcW w:w="2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68">
              <w:r>
                <w:rPr>
                  <w:rFonts w:ascii="Times New Roman" w:cs="Times New Roman" w:eastAsia="Times New Roman" w:hAnsi="Times New Roman"/>
                  <w:sz w:val="18"/>
                  <w:szCs w:val="18"/>
                  <w:color w:val="0000FF"/>
                  <w:w w:val="99"/>
                </w:rPr>
                <w:t>Form 8-K filed October 5, 2009).</w:t>
              </w:r>
            </w:hyperlink>
          </w:p>
        </w:tc>
        <w:tc>
          <w:tcPr>
            <w:tcW w:w="7540" w:type="dxa"/>
            <w:vAlign w:val="bottom"/>
            <w:gridSpan w:val="9"/>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Seventeenth Supplemental Indenture, dated as of October 27, 2009,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Form 8-K filed October 28, 2009).</w:t>
              </w:r>
            </w:hyperlink>
          </w:p>
        </w:tc>
        <w:tc>
          <w:tcPr>
            <w:tcW w:w="7000" w:type="dxa"/>
            <w:vAlign w:val="bottom"/>
            <w:gridSpan w:val="4"/>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9960" w:type="dxa"/>
            <w:vAlign w:val="bottom"/>
            <w:gridSpan w:val="11"/>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Eighteenth Supplemental Indenture, dated as of October 27, 2009, among Enterprise Products Operating LLC, as Issuer, Enterprise</w:t>
              </w:r>
            </w:hyperlink>
          </w:p>
        </w:tc>
      </w:tr>
      <w:tr>
        <w:trPr>
          <w:trHeight w:val="20"/>
        </w:trPr>
        <w:tc>
          <w:tcPr>
            <w:tcW w:w="1240" w:type="dxa"/>
            <w:vAlign w:val="bottom"/>
          </w:tcPr>
          <w:p>
            <w:pPr>
              <w:spacing w:after="0" w:line="20" w:lineRule="exact"/>
              <w:rPr>
                <w:sz w:val="1"/>
                <w:szCs w:val="1"/>
                <w:color w:val="auto"/>
              </w:rPr>
            </w:pPr>
          </w:p>
        </w:tc>
        <w:tc>
          <w:tcPr>
            <w:tcW w:w="2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Form 8-K filed October 28, 2009).</w:t>
              </w:r>
            </w:hyperlink>
          </w:p>
        </w:tc>
        <w:tc>
          <w:tcPr>
            <w:tcW w:w="7000" w:type="dxa"/>
            <w:vAlign w:val="bottom"/>
            <w:gridSpan w:val="4"/>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Nineteenth Supplemental Indenture, dated as of May 20, 2010, among Enterprise Products Operating LLC, as Issuer, Enterprise Products</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Partners L.P., as Parent Guarantor, and Wells Fargo Bank, National Association, as Trustee (incorporated by reference to Exhibit 4.3 to</w:t>
              </w:r>
            </w:hyperlink>
          </w:p>
        </w:tc>
      </w:tr>
      <w:tr>
        <w:trPr>
          <w:trHeight w:val="196"/>
        </w:trPr>
        <w:tc>
          <w:tcPr>
            <w:tcW w:w="1240" w:type="dxa"/>
            <w:vAlign w:val="bottom"/>
          </w:tcPr>
          <w:p>
            <w:pPr>
              <w:spacing w:after="0"/>
              <w:rPr>
                <w:sz w:val="17"/>
                <w:szCs w:val="17"/>
                <w:color w:val="auto"/>
              </w:rPr>
            </w:pPr>
          </w:p>
        </w:tc>
        <w:tc>
          <w:tcPr>
            <w:tcW w:w="23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8-K filed May 20, 2010).</w:t>
              </w:r>
            </w:hyperlink>
          </w:p>
        </w:tc>
        <w:tc>
          <w:tcPr>
            <w:tcW w:w="7660" w:type="dxa"/>
            <w:vAlign w:val="bottom"/>
            <w:gridSpan w:val="10"/>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Twentieth Supplemental Indenture, dated as of January 13, 2011,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January 13, 2011).</w:t>
              </w:r>
            </w:hyperlink>
          </w:p>
        </w:tc>
      </w:tr>
      <w:tr>
        <w:trPr>
          <w:trHeight w:val="20"/>
        </w:trPr>
        <w:tc>
          <w:tcPr>
            <w:tcW w:w="12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9960" w:type="dxa"/>
            <w:vAlign w:val="bottom"/>
            <w:gridSpan w:val="11"/>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Twenty-First Supplemental Indenture, dated as of August 24, 2011, among Enterprise Products Operating LLC, as Issuer, Enterprise</w:t>
              </w:r>
            </w:hyperlink>
          </w:p>
        </w:tc>
      </w:tr>
      <w:tr>
        <w:trPr>
          <w:trHeight w:val="20"/>
        </w:trPr>
        <w:tc>
          <w:tcPr>
            <w:tcW w:w="12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Form 8-K filed August 24, 2011).</w:t>
              </w:r>
            </w:hyperlink>
          </w:p>
        </w:tc>
        <w:tc>
          <w:tcPr>
            <w:tcW w:w="7040" w:type="dxa"/>
            <w:vAlign w:val="bottom"/>
            <w:gridSpan w:val="5"/>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Twenty-Second Supplemental Indenture, dated as of February 15, 2012,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25</w:t>
              </w:r>
              <w:r>
                <w:rPr>
                  <w:rFonts w:ascii="Times New Roman" w:cs="Times New Roman" w:eastAsia="Times New Roman" w:hAnsi="Times New Roman"/>
                  <w:sz w:val="18"/>
                  <w:szCs w:val="18"/>
                  <w:color w:val="0000FF"/>
                </w:rPr>
                <w:t xml:space="preserve"> to Form 10-Q filed May 10, 2012).</w:t>
              </w:r>
            </w:hyperlink>
          </w:p>
        </w:tc>
      </w:tr>
      <w:tr>
        <w:trPr>
          <w:trHeight w:val="20"/>
        </w:trPr>
        <w:tc>
          <w:tcPr>
            <w:tcW w:w="12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Twenty-Third Supplemental Indenture, dated as of August 13, 2012,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Form 8-K filed August 13, 2012).</w:t>
              </w:r>
            </w:hyperlink>
          </w:p>
        </w:tc>
        <w:tc>
          <w:tcPr>
            <w:tcW w:w="7040" w:type="dxa"/>
            <w:vAlign w:val="bottom"/>
            <w:gridSpan w:val="5"/>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Twenty-Fourth Supplemental Indenture, dated as of March 18, 2013,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March 18, 2013).</w:t>
              </w:r>
            </w:hyperlink>
          </w:p>
        </w:tc>
      </w:tr>
      <w:tr>
        <w:trPr>
          <w:trHeight w:val="20"/>
        </w:trPr>
        <w:tc>
          <w:tcPr>
            <w:tcW w:w="12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Twenty-Fifth Supplemental Indenture, dated as of February 12, 2014,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February 12, 2014).</w:t>
              </w:r>
            </w:hyperlink>
          </w:p>
        </w:tc>
      </w:tr>
      <w:tr>
        <w:trPr>
          <w:trHeight w:val="20"/>
        </w:trPr>
        <w:tc>
          <w:tcPr>
            <w:tcW w:w="1240" w:type="dxa"/>
            <w:vAlign w:val="bottom"/>
          </w:tcPr>
          <w:p>
            <w:pPr>
              <w:spacing w:after="0" w:line="20" w:lineRule="exact"/>
              <w:rPr>
                <w:sz w:val="1"/>
                <w:szCs w:val="1"/>
                <w:color w:val="auto"/>
              </w:rPr>
            </w:pPr>
          </w:p>
        </w:tc>
        <w:tc>
          <w:tcPr>
            <w:tcW w:w="26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940" w:type="dxa"/>
            <w:vAlign w:val="bottom"/>
            <w:gridSpan w:val="3"/>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4.20</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Twenty-Sixth Supplemental Indenture, dated as of October 14, 2014,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Form 8-K filed October 14, 2014).</w:t>
              </w:r>
            </w:hyperlink>
          </w:p>
        </w:tc>
        <w:tc>
          <w:tcPr>
            <w:tcW w:w="7000" w:type="dxa"/>
            <w:vAlign w:val="bottom"/>
            <w:gridSpan w:val="4"/>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4.21</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Twenty-Seventh Supplemental Indenture, dated as of May 7, 2015,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Products Partners L.P., as Parent Guarantor, and Wells Fargo Bank, National Association, as Trustee(incorporated by reference to Exhibit</w:t>
              </w:r>
            </w:hyperlink>
          </w:p>
        </w:tc>
      </w:tr>
      <w:tr>
        <w:trPr>
          <w:trHeight w:val="196"/>
        </w:trPr>
        <w:tc>
          <w:tcPr>
            <w:tcW w:w="1240" w:type="dxa"/>
            <w:vAlign w:val="bottom"/>
          </w:tcPr>
          <w:p>
            <w:pPr>
              <w:spacing w:after="0"/>
              <w:rPr>
                <w:sz w:val="17"/>
                <w:szCs w:val="17"/>
                <w:color w:val="auto"/>
              </w:rPr>
            </w:pPr>
          </w:p>
        </w:tc>
        <w:tc>
          <w:tcPr>
            <w:tcW w:w="26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Form 8-K filed May 7, 2015).</w:t>
              </w:r>
            </w:hyperlink>
          </w:p>
        </w:tc>
        <w:tc>
          <w:tcPr>
            <w:tcW w:w="7340" w:type="dxa"/>
            <w:vAlign w:val="bottom"/>
            <w:gridSpan w:val="8"/>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4.22</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Twenty-Eighth Supplemental Indenture, dated as of April 13, 2016,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7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Form 8-K filed April 13, 2016).</w:t>
              </w:r>
            </w:hyperlink>
          </w:p>
        </w:tc>
        <w:tc>
          <w:tcPr>
            <w:tcW w:w="7200" w:type="dxa"/>
            <w:vAlign w:val="bottom"/>
            <w:gridSpan w:val="7"/>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4.23</w:t>
            </w:r>
          </w:p>
        </w:tc>
        <w:tc>
          <w:tcPr>
            <w:tcW w:w="99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Twenty-Ninth Supplemental Indenture, dated as of August 16, 2017, among Enterprise Products Operating LLC, as Issuer,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40" w:type="dxa"/>
            <w:vAlign w:val="bottom"/>
          </w:tcPr>
          <w:p>
            <w:pPr>
              <w:spacing w:after="0"/>
              <w:rPr>
                <w:sz w:val="17"/>
                <w:szCs w:val="17"/>
                <w:color w:val="auto"/>
              </w:rPr>
            </w:pPr>
          </w:p>
        </w:tc>
        <w:tc>
          <w:tcPr>
            <w:tcW w:w="29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Form 8-K filed August 16, 2017).</w:t>
              </w:r>
            </w:hyperlink>
          </w:p>
        </w:tc>
        <w:tc>
          <w:tcPr>
            <w:tcW w:w="7040" w:type="dxa"/>
            <w:vAlign w:val="bottom"/>
            <w:gridSpan w:val="5"/>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4.24</w:t>
            </w: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Thirtieth Supplemental Indenture, dated as of February 15, 2018, among Enterprise Products Operating LLC, as Issuer, Enterprise</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Form 8-K filed February 15, 2018).</w:t>
              </w:r>
            </w:hyperlink>
          </w:p>
        </w:tc>
      </w:tr>
      <w:tr>
        <w:trPr>
          <w:trHeight w:val="20"/>
        </w:trPr>
        <w:tc>
          <w:tcPr>
            <w:tcW w:w="12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4.25</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Thirty-First Supplemental Indenture, dated as of February 15, 2018,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February 15, 2018).</w:t>
              </w:r>
            </w:hyperlink>
          </w:p>
        </w:tc>
      </w:tr>
      <w:tr>
        <w:trPr>
          <w:trHeight w:val="20"/>
        </w:trPr>
        <w:tc>
          <w:tcPr>
            <w:tcW w:w="126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4.26</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Thirty-Second Supplemental Indenture, dated as of October 11, 2018,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60" w:type="dxa"/>
            <w:vAlign w:val="bottom"/>
          </w:tcPr>
          <w:p>
            <w:pPr>
              <w:spacing w:after="0"/>
              <w:rPr>
                <w:sz w:val="17"/>
                <w:szCs w:val="17"/>
                <w:color w:val="auto"/>
              </w:rPr>
            </w:pPr>
          </w:p>
        </w:tc>
        <w:tc>
          <w:tcPr>
            <w:tcW w:w="30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3</w:t>
              </w:r>
              <w:r>
                <w:rPr>
                  <w:rFonts w:ascii="Times New Roman" w:cs="Times New Roman" w:eastAsia="Times New Roman" w:hAnsi="Times New Roman"/>
                  <w:sz w:val="18"/>
                  <w:szCs w:val="18"/>
                  <w:color w:val="0000FF"/>
                </w:rPr>
                <w:t xml:space="preserve"> to Form 8-K filed October 11, 2018).</w:t>
              </w:r>
            </w:hyperlink>
          </w:p>
        </w:tc>
        <w:tc>
          <w:tcPr>
            <w:tcW w:w="696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4.27</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Thirty-Third Supplemental Indenture, dated as of July 8, 2019, among Enterprise Products Operating LLC, as Issuer, Enterprise Products</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Partners L.P., as Parent Guarantor, and Wells Fargo Bank, National Association, as Trustee (incorporated by reference to Exhibit 4.3 to</w:t>
              </w:r>
            </w:hyperlink>
          </w:p>
        </w:tc>
      </w:tr>
      <w:tr>
        <w:trPr>
          <w:trHeight w:val="196"/>
        </w:trPr>
        <w:tc>
          <w:tcPr>
            <w:tcW w:w="1260" w:type="dxa"/>
            <w:vAlign w:val="bottom"/>
          </w:tcPr>
          <w:p>
            <w:pPr>
              <w:spacing w:after="0"/>
              <w:rPr>
                <w:sz w:val="17"/>
                <w:szCs w:val="17"/>
                <w:color w:val="auto"/>
              </w:rPr>
            </w:pPr>
          </w:p>
        </w:tc>
        <w:tc>
          <w:tcPr>
            <w:tcW w:w="21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Form 8-K filed July 8, 2019).</w:t>
              </w:r>
            </w:hyperlink>
          </w:p>
        </w:tc>
        <w:tc>
          <w:tcPr>
            <w:tcW w:w="7840" w:type="dxa"/>
            <w:vAlign w:val="bottom"/>
            <w:gridSpan w:val="16"/>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4.28</w:t>
            </w: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Thirty-Fourth Supplemental Indenture, dated as of January 15, 2020, among Enterprise Products Operating LLC, as Issuer, Enterprise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60" w:type="dxa"/>
            <w:vAlign w:val="bottom"/>
          </w:tcPr>
          <w:p>
            <w:pPr>
              <w:spacing w:after="0"/>
              <w:rPr>
                <w:sz w:val="17"/>
                <w:szCs w:val="17"/>
                <w:color w:val="auto"/>
              </w:rPr>
            </w:pPr>
          </w:p>
        </w:tc>
        <w:tc>
          <w:tcPr>
            <w:tcW w:w="29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Form 8-K filed January 15, 2020).</w:t>
              </w:r>
            </w:hyperlink>
          </w:p>
        </w:tc>
        <w:tc>
          <w:tcPr>
            <w:tcW w:w="7040" w:type="dxa"/>
            <w:vAlign w:val="bottom"/>
            <w:gridSpan w:val="14"/>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4.29</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Thirty-Fifth Supplemental Indenture, dated as of August 7, 2020,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Products Partners L.P., as Parent Guarantor, and Wells Fargo Bank, National Association, as Trustee (incorporated by reference to Exhibit</w:t>
              </w:r>
            </w:hyperlink>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Form 8-K filed August 7, 2020).</w:t>
              </w:r>
            </w:hyperlink>
          </w:p>
        </w:tc>
      </w:tr>
      <w:tr>
        <w:trPr>
          <w:trHeight w:val="20"/>
        </w:trPr>
        <w:tc>
          <w:tcPr>
            <w:tcW w:w="126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4.30</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Thirty-Sixth Supplemental Indenture, dated as of September 15, 2021,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Products Partners L.P., as Parent Guarantor, Wells Fargo Bank, National Association, as Original Trustee, and U.S. Bank National</w:t>
              </w:r>
            </w:hyperlink>
          </w:p>
        </w:tc>
      </w:tr>
      <w:tr>
        <w:trPr>
          <w:trHeight w:val="196"/>
        </w:trPr>
        <w:tc>
          <w:tcPr>
            <w:tcW w:w="1260" w:type="dxa"/>
            <w:vAlign w:val="bottom"/>
          </w:tcPr>
          <w:p>
            <w:pPr>
              <w:spacing w:after="0"/>
              <w:rPr>
                <w:sz w:val="17"/>
                <w:szCs w:val="17"/>
                <w:color w:val="auto"/>
              </w:rPr>
            </w:pPr>
          </w:p>
        </w:tc>
        <w:tc>
          <w:tcPr>
            <w:tcW w:w="80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Association, as Series Trustee (incorporated by reference to Exhibit 4.3 to Form 8-K filed September 15, 2021).</w:t>
              </w:r>
            </w:hyperlink>
          </w:p>
        </w:tc>
        <w:tc>
          <w:tcPr>
            <w:tcW w:w="1920" w:type="dxa"/>
            <w:vAlign w:val="bottom"/>
            <w:gridSpan w:val="4"/>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4.31</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Thirty-Seventh Supplemental Indenture, dated as of January 10, 2023,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Products Partners L.P., as Parent Guarantor, and U.S. Bank Trust Company, National Association, as Series Trustee (incorporated by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4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reference to Exhibit 4.4 to Form 8-K filed January 10, 2023).</w:t>
              </w:r>
            </w:hyperlink>
          </w:p>
        </w:tc>
        <w:tc>
          <w:tcPr>
            <w:tcW w:w="556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4.32</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Thirty-Eighth Supplemental Indenture, dated as of January 11, 2024,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Products Partners L.P., as Parent Guarantor, and U.S. Bank Trust Company, National Association, as Series Trustee (incorporated by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reference to Exhibit 4.4 to Form 8-K filed January 11, 2024).</w:t>
              </w:r>
            </w:hyperlink>
          </w:p>
        </w:tc>
      </w:tr>
      <w:tr>
        <w:trPr>
          <w:trHeight w:val="20"/>
        </w:trPr>
        <w:tc>
          <w:tcPr>
            <w:tcW w:w="1260" w:type="dxa"/>
            <w:vAlign w:val="bottom"/>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4.33</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Thirty-Ninth Supplemental Indenture, dated as of August 8, 2024, among Enterprise Products Operating LLC, as Issuer, Enterprise</w:t>
              </w:r>
            </w:hyperlink>
          </w:p>
        </w:tc>
      </w:tr>
      <w:tr>
        <w:trPr>
          <w:trHeight w:val="196"/>
        </w:trPr>
        <w:tc>
          <w:tcPr>
            <w:tcW w:w="1260" w:type="dxa"/>
            <w:vAlign w:val="bottom"/>
          </w:tcPr>
          <w:p>
            <w:pPr>
              <w:spacing w:after="0"/>
              <w:rPr>
                <w:sz w:val="17"/>
                <w:szCs w:val="17"/>
                <w:color w:val="auto"/>
              </w:rPr>
            </w:pPr>
          </w:p>
        </w:tc>
        <w:tc>
          <w:tcPr>
            <w:tcW w:w="99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Products Partners L.P., as Parent Guarantor, and U.S. Bank Trust Company, National Association, as Series Trustee (incorporated by</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reference to Exhibit 4.4 to Form 8-K filed August 8, 2024).</w:t>
              </w:r>
            </w:hyperlink>
          </w:p>
        </w:tc>
      </w:tr>
      <w:tr>
        <w:trPr>
          <w:trHeight w:val="20"/>
        </w:trPr>
        <w:tc>
          <w:tcPr>
            <w:tcW w:w="1260" w:type="dxa"/>
            <w:vAlign w:val="bottom"/>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4.34</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Fortieth Supplemental Indenture, dated as of June 20, 2025, among Enterprise Products Operating LLC, as Issuer, Enterprise Products</w:t>
              </w:r>
            </w:hyperlink>
          </w:p>
        </w:tc>
      </w:tr>
      <w:tr>
        <w:trPr>
          <w:trHeight w:val="196"/>
        </w:trPr>
        <w:tc>
          <w:tcPr>
            <w:tcW w:w="1260" w:type="dxa"/>
            <w:vAlign w:val="bottom"/>
          </w:tcPr>
          <w:p>
            <w:pPr>
              <w:spacing w:after="0"/>
              <w:rPr>
                <w:sz w:val="17"/>
                <w:szCs w:val="17"/>
                <w:color w:val="auto"/>
              </w:rPr>
            </w:pPr>
          </w:p>
        </w:tc>
        <w:tc>
          <w:tcPr>
            <w:tcW w:w="99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Partners L.P., as Parent Guarantor, and U.S. Bank Trust Company, National Association, as Series Trustee (incorporated by reference to</w:t>
              </w:r>
            </w:hyperlink>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Exhibit 4.4 to Form 8-K filed June 20, 2025).</w:t>
              </w:r>
            </w:hyperlink>
          </w:p>
        </w:tc>
      </w:tr>
      <w:tr>
        <w:trPr>
          <w:trHeight w:val="20"/>
        </w:trPr>
        <w:tc>
          <w:tcPr>
            <w:tcW w:w="1260" w:type="dxa"/>
            <w:vAlign w:val="bottom"/>
          </w:tcPr>
          <w:p>
            <w:pPr>
              <w:spacing w:after="0" w:line="20" w:lineRule="exact"/>
              <w:rPr>
                <w:sz w:val="1"/>
                <w:szCs w:val="1"/>
                <w:color w:val="auto"/>
              </w:rPr>
            </w:pPr>
          </w:p>
        </w:tc>
        <w:tc>
          <w:tcPr>
            <w:tcW w:w="3280" w:type="dxa"/>
            <w:vAlign w:val="bottom"/>
            <w:gridSpan w:val="5"/>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4.35</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500 million principal amount of 6.875% Series B Senior Notes due 2033 with attached Guarantee</w:t>
              </w:r>
            </w:hyperlink>
          </w:p>
        </w:tc>
      </w:tr>
      <w:tr>
        <w:trPr>
          <w:trHeight w:val="196"/>
        </w:trPr>
        <w:tc>
          <w:tcPr>
            <w:tcW w:w="1260" w:type="dxa"/>
            <w:vAlign w:val="bottom"/>
          </w:tcPr>
          <w:p>
            <w:pPr>
              <w:spacing w:after="0"/>
              <w:rPr>
                <w:sz w:val="17"/>
                <w:szCs w:val="17"/>
                <w:color w:val="auto"/>
              </w:rPr>
            </w:pPr>
          </w:p>
        </w:tc>
        <w:tc>
          <w:tcPr>
            <w:tcW w:w="66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to Exhibit A to Exhibit 4.3 to Form 10-K filed March 31, 2003).</w:t>
              </w:r>
            </w:hyperlink>
          </w:p>
        </w:tc>
        <w:tc>
          <w:tcPr>
            <w:tcW w:w="3380" w:type="dxa"/>
            <w:vAlign w:val="bottom"/>
            <w:gridSpan w:val="5"/>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4.36</w:t>
            </w: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350 million principal amount of 6.65% Series B Senior Notes due 2034 with attached Guarantee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89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194">
              <w:r>
                <w:rPr>
                  <w:rFonts w:ascii="Times New Roman" w:cs="Times New Roman" w:eastAsia="Times New Roman" w:hAnsi="Times New Roman"/>
                  <w:sz w:val="18"/>
                  <w:szCs w:val="18"/>
                  <w:color w:val="0000FF"/>
                  <w:w w:val="99"/>
                </w:rPr>
                <w:t>(incorporated by reference to Exhibit 4.19 to Form S-3 Registration Statement, Reg. No. 333-123150, filed March 4, 2005).</w:t>
              </w:r>
            </w:hyperlink>
          </w:p>
        </w:tc>
        <w:tc>
          <w:tcPr>
            <w:tcW w:w="1060" w:type="dxa"/>
            <w:vAlign w:val="bottom"/>
            <w:gridSpan w:val="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4.37</w:t>
            </w: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250 million principal amount of 5.75% Series B Senior Notes due 2035 with attached Guarantee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9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95">
              <w:r>
                <w:rPr>
                  <w:rFonts w:ascii="Times New Roman" w:cs="Times New Roman" w:eastAsia="Times New Roman" w:hAnsi="Times New Roman"/>
                  <w:sz w:val="18"/>
                  <w:szCs w:val="18"/>
                  <w:color w:val="0000FF"/>
                  <w:w w:val="99"/>
                </w:rPr>
                <w:t>(incorporated by reference to Exhibit 4.32 to Form 10-Q filed November 4, 2005).</w:t>
              </w:r>
            </w:hyperlink>
          </w:p>
        </w:tc>
        <w:tc>
          <w:tcPr>
            <w:tcW w:w="4040" w:type="dxa"/>
            <w:vAlign w:val="bottom"/>
            <w:gridSpan w:val="8"/>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4.38</w:t>
            </w:r>
          </w:p>
        </w:tc>
        <w:tc>
          <w:tcPr>
            <w:tcW w:w="99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600 million principal amount of 6.125% Senior Notes due 2039 with attached Guarantee</w:t>
              </w:r>
            </w:hyperlink>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B to Exhibit 4.3 to Form 8-K filed October 5, 2009).</w:t>
              </w:r>
            </w:hyperlink>
          </w:p>
        </w:tc>
      </w:tr>
      <w:tr>
        <w:trPr>
          <w:trHeight w:val="20"/>
        </w:trPr>
        <w:tc>
          <w:tcPr>
            <w:tcW w:w="1260" w:type="dxa"/>
            <w:vAlign w:val="bottom"/>
          </w:tcPr>
          <w:p>
            <w:pPr>
              <w:spacing w:after="0" w:line="20" w:lineRule="exact"/>
              <w:rPr>
                <w:sz w:val="1"/>
                <w:szCs w:val="1"/>
                <w:color w:val="auto"/>
              </w:rPr>
            </w:pPr>
          </w:p>
        </w:tc>
        <w:tc>
          <w:tcPr>
            <w:tcW w:w="6500" w:type="dxa"/>
            <w:vAlign w:val="bottom"/>
            <w:gridSpan w:val="10"/>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4.39</w:t>
            </w:r>
          </w:p>
        </w:tc>
        <w:tc>
          <w:tcPr>
            <w:tcW w:w="9980" w:type="dxa"/>
            <w:vAlign w:val="bottom"/>
            <w:gridSpan w:val="17"/>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399.6 million principal amount of 7.55% Senior Notes due 2038 with attached Guarantee</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(incorporated by reference to Exhibit E to Exhibit 4.1 to Form 8-K filed October 28, 2009).</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658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4.40</w:t>
            </w:r>
          </w:p>
        </w:tc>
        <w:tc>
          <w:tcPr>
            <w:tcW w:w="9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285.8 million principal amount of Junior Subordinated Notes due 2067 with attached Guarantee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7"/>
          </w:tcPr>
          <w:p>
            <w:pPr>
              <w:spacing w:after="0" w:line="19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(incorporated by reference to Exhibit A to Exhibit 4.2 to Form 8-K filed October 28, 2009).</w:t>
              </w:r>
            </w:hyperlink>
          </w:p>
        </w:tc>
      </w:tr>
      <w:tr>
        <w:trPr>
          <w:trHeight w:val="736"/>
        </w:trPr>
        <w:tc>
          <w:tcPr>
            <w:tcW w:w="1260" w:type="dxa"/>
            <w:vAlign w:val="bottom"/>
          </w:tcPr>
          <w:p>
            <w:pPr>
              <w:spacing w:after="0"/>
              <w:rPr>
                <w:sz w:val="24"/>
                <w:szCs w:val="24"/>
                <w:color w:val="auto"/>
              </w:rPr>
            </w:pPr>
          </w:p>
        </w:tc>
        <w:tc>
          <w:tcPr>
            <w:tcW w:w="5940" w:type="dxa"/>
            <w:vAlign w:val="bottom"/>
            <w:tcBorders>
              <w:top w:val="single" w:sz="8" w:color="0000FF"/>
            </w:tcBorders>
            <w:gridSpan w:val="9"/>
          </w:tcPr>
          <w:p>
            <w:pPr>
              <w:ind w:left="428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6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4.41</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600 million principal amount of 6.45% Senior Notes due 2040 with attached Guarantee (incorporated</w:t>
              </w:r>
            </w:hyperlink>
          </w:p>
        </w:tc>
        <w:tc>
          <w:tcPr>
            <w:tcW w:w="2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5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by reference to Exhibit C to Exhibit 4.3 to Form 8-K filed May 20, 2010).</w:t>
              </w:r>
            </w:hyperlink>
          </w:p>
        </w:tc>
        <w:tc>
          <w:tcPr>
            <w:tcW w:w="4640" w:type="dxa"/>
            <w:vAlign w:val="bottom"/>
            <w:gridSpan w:val="12"/>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4.42</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5.95% Senior Notes due 2041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5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by reference to Exhibit B to Exhibit 4.3 to Form 8-K filed January 13, 2011).</w:t>
              </w:r>
            </w:hyperlink>
          </w:p>
        </w:tc>
        <w:tc>
          <w:tcPr>
            <w:tcW w:w="4420" w:type="dxa"/>
            <w:vAlign w:val="bottom"/>
            <w:gridSpan w:val="8"/>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4.43</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600 million principal amount of 5.70% Senior Notes due 2042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5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by reference to Exhibit B to Exhibit 4.3 to Form 8-K filed August 24, 2011).</w:t>
              </w:r>
            </w:hyperlink>
          </w:p>
        </w:tc>
        <w:tc>
          <w:tcPr>
            <w:tcW w:w="446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4.44</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4.85% Senior Notes due 2042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5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by reference to Exhibit A to Exhibit 4.25 to Form 10-Q filed May 10, 2012).</w:t>
              </w:r>
            </w:hyperlink>
          </w:p>
        </w:tc>
        <w:tc>
          <w:tcPr>
            <w:tcW w:w="446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4.45</w:t>
            </w:r>
          </w:p>
        </w:tc>
        <w:tc>
          <w:tcPr>
            <w:tcW w:w="9980" w:type="dxa"/>
            <w:vAlign w:val="bottom"/>
            <w:gridSpan w:val="14"/>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 billion principal amount of 4.45% Senior Notes due 2043 with attached Guarantee (incorporated</w:t>
              </w:r>
            </w:hyperlink>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by reference to Exhibit B to Exhibit 4.3 to Form 8-K filed August 13, 2012).</w:t>
              </w:r>
            </w:hyperlink>
          </w:p>
        </w:tc>
        <w:tc>
          <w:tcPr>
            <w:tcW w:w="4420" w:type="dxa"/>
            <w:vAlign w:val="bottom"/>
            <w:tcBorders>
              <w:top w:val="single" w:sz="8" w:color="0000FF"/>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4.46</w:t>
            </w:r>
          </w:p>
        </w:tc>
        <w:tc>
          <w:tcPr>
            <w:tcW w:w="9980" w:type="dxa"/>
            <w:vAlign w:val="bottom"/>
            <w:gridSpan w:val="14"/>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4.85% Senior Notes due 2044 with attached Guarantee (incorporated</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by reference to Exhibit B to Exhibit 4.3 to Form 8-K filed March 18, 2013).</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4.47</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1.15 billion principal amount of 5.10% Senior Notes due 2045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6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by reference to Exhibit B to Exhibit 4.3 to Form 8-K filed February 12, 2014).</w:t>
              </w:r>
            </w:hyperlink>
          </w:p>
        </w:tc>
        <w:tc>
          <w:tcPr>
            <w:tcW w:w="4320" w:type="dxa"/>
            <w:vAlign w:val="bottom"/>
            <w:gridSpan w:val="6"/>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4.48</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1.15 billion principal amount of 3.75% Senior Notes due 2025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by reference to Exhibit B to Exhibit 4.4 to Form 8-K filed October 14, 2014).</w:t>
              </w:r>
            </w:hyperlink>
          </w:p>
        </w:tc>
        <w:tc>
          <w:tcPr>
            <w:tcW w:w="4340" w:type="dxa"/>
            <w:vAlign w:val="bottom"/>
            <w:gridSpan w:val="7"/>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4.49</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principal amount of 4.95% Senior Notes due 2054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6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by reference to Exhibit C to Exhibit 4.4 to Form 8-K filed October 14, 2014).</w:t>
              </w:r>
            </w:hyperlink>
          </w:p>
        </w:tc>
        <w:tc>
          <w:tcPr>
            <w:tcW w:w="4340" w:type="dxa"/>
            <w:vAlign w:val="bottom"/>
            <w:gridSpan w:val="7"/>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4.50</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400 million principal amount of 4.85% Senior Notes due 2044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by reference to Exhibit B to Exhibit 4.3 to Form 8-K filed March 18, 2013).</w:t>
              </w:r>
            </w:hyperlink>
          </w:p>
        </w:tc>
      </w:tr>
      <w:tr>
        <w:trPr>
          <w:trHeight w:val="20"/>
        </w:trPr>
        <w:tc>
          <w:tcPr>
            <w:tcW w:w="126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4.51</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875 million principal amount of 3.70% Senior Notes due 2026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2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by reference to Exhibit B to Exhibit 4.3 to Form 8-K filed May 7, 2015).</w:t>
              </w:r>
            </w:hyperlink>
          </w:p>
        </w:tc>
        <w:tc>
          <w:tcPr>
            <w:tcW w:w="474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4.52</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875 million principal amount of 4.90% Senior Notes due 2046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2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by reference to Exhibit C to Exhibit 4.3 to Form 8-K filed May 7, 2015).</w:t>
              </w:r>
            </w:hyperlink>
          </w:p>
        </w:tc>
        <w:tc>
          <w:tcPr>
            <w:tcW w:w="474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4.53</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575 million principal amount of 3.95% Senior Notes due 2027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3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by reference to Exhibit B to Exhibit 4.4 to Form 8-K filed April 13, 2016).</w:t>
              </w:r>
            </w:hyperlink>
          </w:p>
        </w:tc>
        <w:tc>
          <w:tcPr>
            <w:tcW w:w="4600" w:type="dxa"/>
            <w:vAlign w:val="bottom"/>
            <w:gridSpan w:val="11"/>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4.54</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100 million principal amount of 4.90% Senior Notes due 2046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2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79">
              <w:r>
                <w:rPr>
                  <w:rFonts w:ascii="Times New Roman" w:cs="Times New Roman" w:eastAsia="Times New Roman" w:hAnsi="Times New Roman"/>
                  <w:sz w:val="18"/>
                  <w:szCs w:val="18"/>
                  <w:color w:val="0000FF"/>
                  <w:w w:val="99"/>
                </w:rPr>
                <w:t>by reference to Exhibit C to Exhibit 4.3 to Form 8-K filed May 7, 2015).</w:t>
              </w:r>
            </w:hyperlink>
          </w:p>
        </w:tc>
        <w:tc>
          <w:tcPr>
            <w:tcW w:w="474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4.55</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700 million principal amount of Junior Subordinated Notes D due 2077 with attached Guarantee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A to Exhibit 4.3 to Form 8-K filed August 16, 2017).</w:t>
              </w:r>
            </w:hyperlink>
          </w:p>
        </w:tc>
        <w:tc>
          <w:tcPr>
            <w:tcW w:w="3420" w:type="dxa"/>
            <w:vAlign w:val="bottom"/>
            <w:gridSpan w:val="4"/>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4.56</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Junior Subordinated Notes E due 2077 with attached Guarantee</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65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(incorporated by reference to Exhibit B to Exhibit 4.3 to Form 8-K filed August 16, 2017).</w:t>
              </w:r>
            </w:hyperlink>
          </w:p>
        </w:tc>
        <w:tc>
          <w:tcPr>
            <w:tcW w:w="3440" w:type="dxa"/>
            <w:vAlign w:val="bottom"/>
            <w:gridSpan w:val="5"/>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4.57</w:t>
            </w:r>
          </w:p>
        </w:tc>
        <w:tc>
          <w:tcPr>
            <w:tcW w:w="99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1.25 billion principal amount of 4.25% Senior Notes due 2048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4"/>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by reference to Exhibit B to Exhibit 4.4 to Form 8-K filed February 15, 2018).</w:t>
              </w:r>
            </w:hyperlink>
          </w:p>
        </w:tc>
      </w:tr>
      <w:tr>
        <w:trPr>
          <w:trHeight w:val="20"/>
        </w:trPr>
        <w:tc>
          <w:tcPr>
            <w:tcW w:w="1260" w:type="dxa"/>
            <w:vAlign w:val="bottom"/>
          </w:tcPr>
          <w:p>
            <w:pPr>
              <w:spacing w:after="0" w:line="20" w:lineRule="exact"/>
              <w:rPr>
                <w:sz w:val="1"/>
                <w:szCs w:val="1"/>
                <w:color w:val="auto"/>
              </w:rPr>
            </w:pPr>
          </w:p>
        </w:tc>
        <w:tc>
          <w:tcPr>
            <w:tcW w:w="5640" w:type="dxa"/>
            <w:vAlign w:val="bottom"/>
            <w:tcBorders>
              <w:right w:val="single" w:sz="8" w:color="0000FF"/>
            </w:tcBorders>
            <w:gridSpan w:val="7"/>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4.58</w:t>
            </w:r>
          </w:p>
        </w:tc>
        <w:tc>
          <w:tcPr>
            <w:tcW w:w="9980" w:type="dxa"/>
            <w:vAlign w:val="bottom"/>
            <w:gridSpan w:val="1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700 million principal amount of Junior Subordinated Notes F due 2078 with attached Guarantee</w:t>
              </w:r>
            </w:hyperlink>
          </w:p>
        </w:tc>
      </w:tr>
      <w:tr>
        <w:trPr>
          <w:trHeight w:val="196"/>
        </w:trPr>
        <w:tc>
          <w:tcPr>
            <w:tcW w:w="126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(incorporated by reference to Exhibit A to Exhibit 4.3 to Form 8-K filed February 15, 2018).</w:t>
              </w:r>
            </w:hyperlink>
          </w:p>
        </w:tc>
        <w:tc>
          <w:tcPr>
            <w:tcW w:w="3280" w:type="dxa"/>
            <w:vAlign w:val="bottom"/>
            <w:tcBorders>
              <w:top w:val="single" w:sz="8" w:color="0000FF"/>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4.59</w:t>
            </w:r>
          </w:p>
        </w:tc>
        <w:tc>
          <w:tcPr>
            <w:tcW w:w="9980" w:type="dxa"/>
            <w:vAlign w:val="bottom"/>
            <w:gridSpan w:val="14"/>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4.15% Senior Notes due 2028 with attached Guarantee (incorporated</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reference to Exhibit B to Exhibit 4.3 to Form 8-K filed October 11, 2018).</w:t>
              </w:r>
            </w:hyperlink>
          </w:p>
        </w:tc>
        <w:tc>
          <w:tcPr>
            <w:tcW w:w="40" w:type="dxa"/>
            <w:vAlign w:val="bottom"/>
            <w:gridSpan w:val="2"/>
          </w:tcPr>
          <w:p>
            <w:pPr>
              <w:spacing w:after="0"/>
              <w:rPr>
                <w:sz w:val="17"/>
                <w:szCs w:val="17"/>
                <w:color w:val="auto"/>
              </w:rPr>
            </w:pPr>
          </w:p>
        </w:tc>
      </w:tr>
      <w:tr>
        <w:trPr>
          <w:trHeight w:val="736"/>
        </w:trPr>
        <w:tc>
          <w:tcPr>
            <w:tcW w:w="1260" w:type="dxa"/>
            <w:vAlign w:val="bottom"/>
          </w:tcPr>
          <w:p>
            <w:pPr>
              <w:spacing w:after="0"/>
              <w:rPr>
                <w:sz w:val="24"/>
                <w:szCs w:val="24"/>
                <w:color w:val="auto"/>
              </w:rPr>
            </w:pPr>
          </w:p>
        </w:tc>
        <w:tc>
          <w:tcPr>
            <w:tcW w:w="5240" w:type="dxa"/>
            <w:vAlign w:val="bottom"/>
            <w:tcBorders>
              <w:top w:val="single" w:sz="8" w:color="0000FF"/>
            </w:tcBorders>
          </w:tcPr>
          <w:p>
            <w:pPr>
              <w:ind w:left="42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4.60</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1.25 billion principal amount of 4.80% Senior Notes due 2049 with attached Guarantee (incorporated</w:t>
              </w:r>
            </w:hyperlink>
          </w:p>
        </w:tc>
      </w:tr>
      <w:tr>
        <w:trPr>
          <w:trHeight w:val="196"/>
        </w:trPr>
        <w:tc>
          <w:tcPr>
            <w:tcW w:w="1260" w:type="dxa"/>
            <w:vAlign w:val="bottom"/>
          </w:tcPr>
          <w:p>
            <w:pPr>
              <w:spacing w:after="0"/>
              <w:rPr>
                <w:sz w:val="17"/>
                <w:szCs w:val="17"/>
                <w:color w:val="auto"/>
              </w:rPr>
            </w:pPr>
          </w:p>
        </w:tc>
        <w:tc>
          <w:tcPr>
            <w:tcW w:w="56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by reference to Exhibit C to Exhibit 4.3 to Form 8-K filed October 11, 2018).</w:t>
              </w:r>
            </w:hyperlink>
          </w:p>
        </w:tc>
        <w:tc>
          <w:tcPr>
            <w:tcW w:w="4360" w:type="dxa"/>
            <w:vAlign w:val="bottom"/>
            <w:gridSpan w:val="7"/>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4.61</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1.25 billion principal amount of 3.125% Senior Notes due 2029 with attached Guarantee</w:t>
              </w:r>
            </w:hyperlink>
          </w:p>
        </w:tc>
      </w:tr>
      <w:tr>
        <w:trPr>
          <w:trHeight w:val="196"/>
        </w:trPr>
        <w:tc>
          <w:tcPr>
            <w:tcW w:w="1260" w:type="dxa"/>
            <w:vAlign w:val="bottom"/>
          </w:tcPr>
          <w:p>
            <w:pPr>
              <w:spacing w:after="0"/>
              <w:rPr>
                <w:sz w:val="17"/>
                <w:szCs w:val="17"/>
                <w:color w:val="auto"/>
              </w:rPr>
            </w:pPr>
          </w:p>
        </w:tc>
        <w:tc>
          <w:tcPr>
            <w:tcW w:w="62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(incorporated by reference to Exhibit A to Exhibit 4.3 to Form 8-K filed July 8, 2019).</w:t>
              </w:r>
            </w:hyperlink>
          </w:p>
        </w:tc>
        <w:tc>
          <w:tcPr>
            <w:tcW w:w="3740" w:type="dxa"/>
            <w:vAlign w:val="bottom"/>
            <w:gridSpan w:val="4"/>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4.62</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1.25 billion principal amount of 4.200% Senior Notes due 2050 with attached Guarantee</w:t>
              </w:r>
            </w:hyperlink>
          </w:p>
        </w:tc>
      </w:tr>
      <w:tr>
        <w:trPr>
          <w:trHeight w:val="196"/>
        </w:trPr>
        <w:tc>
          <w:tcPr>
            <w:tcW w:w="12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(incorporated by reference to Exhibit B to Exhibit 4.3 to Form 8-K filed July 8, 2019).</w:t>
              </w:r>
            </w:hyperlink>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4.63</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2.800% Senior Notes due 2030 with attached Guarantee (incorporated</w:t>
              </w:r>
            </w:hyperlink>
          </w:p>
        </w:tc>
      </w:tr>
      <w:tr>
        <w:trPr>
          <w:trHeight w:val="196"/>
        </w:trPr>
        <w:tc>
          <w:tcPr>
            <w:tcW w:w="1260" w:type="dxa"/>
            <w:vAlign w:val="bottom"/>
          </w:tcPr>
          <w:p>
            <w:pPr>
              <w:spacing w:after="0"/>
              <w:rPr>
                <w:sz w:val="17"/>
                <w:szCs w:val="17"/>
                <w:color w:val="auto"/>
              </w:rPr>
            </w:pPr>
          </w:p>
        </w:tc>
        <w:tc>
          <w:tcPr>
            <w:tcW w:w="56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by reference to Exhibit A to Exhibit 4.3 to Form 8-K filed January 15, 2020).</w:t>
              </w:r>
            </w:hyperlink>
          </w:p>
        </w:tc>
        <w:tc>
          <w:tcPr>
            <w:tcW w:w="4380" w:type="dxa"/>
            <w:vAlign w:val="bottom"/>
            <w:gridSpan w:val="8"/>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4.64</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3.700% Senior Notes due 2051 with attached Guarantee (incorporated</w:t>
              </w:r>
            </w:hyperlink>
          </w:p>
        </w:tc>
      </w:tr>
      <w:tr>
        <w:trPr>
          <w:trHeight w:val="196"/>
        </w:trPr>
        <w:tc>
          <w:tcPr>
            <w:tcW w:w="126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by reference to Exhibit B to Exhibit 4.3 to Form 8-K filed January 15, 2020).</w:t>
              </w:r>
            </w:hyperlink>
          </w:p>
        </w:tc>
        <w:tc>
          <w:tcPr>
            <w:tcW w:w="440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4.65</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3.950% Senior Notes due 2060 with attached Guarantee (incorporated</w:t>
              </w:r>
            </w:hyperlink>
          </w:p>
        </w:tc>
      </w:tr>
      <w:tr>
        <w:trPr>
          <w:trHeight w:val="196"/>
        </w:trPr>
        <w:tc>
          <w:tcPr>
            <w:tcW w:w="126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by reference to Exhibit C to Exhibit 4.3 to Form 8-K filed January 15, 2020).</w:t>
              </w:r>
            </w:hyperlink>
          </w:p>
        </w:tc>
        <w:tc>
          <w:tcPr>
            <w:tcW w:w="440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4.66</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250 million principal amount of 2.800% Senior Notes due 2030 with attached Guarantee</w:t>
              </w:r>
            </w:hyperlink>
          </w:p>
        </w:tc>
      </w:tr>
      <w:tr>
        <w:trPr>
          <w:trHeight w:val="196"/>
        </w:trPr>
        <w:tc>
          <w:tcPr>
            <w:tcW w:w="12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(incorporated by reference to Exhibit A to Exhibit 4.3 to Form 8-K filed January 15, 2020).</w:t>
              </w:r>
            </w:hyperlink>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4.67</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3.200% Senior Notes due 2052 with attached Guarantee (incorporated</w:t>
              </w:r>
            </w:hyperlink>
          </w:p>
        </w:tc>
      </w:tr>
      <w:tr>
        <w:trPr>
          <w:trHeight w:val="196"/>
        </w:trPr>
        <w:tc>
          <w:tcPr>
            <w:tcW w:w="1260" w:type="dxa"/>
            <w:vAlign w:val="bottom"/>
          </w:tcPr>
          <w:p>
            <w:pPr>
              <w:spacing w:after="0"/>
              <w:rPr>
                <w:sz w:val="17"/>
                <w:szCs w:val="17"/>
                <w:color w:val="auto"/>
              </w:rPr>
            </w:pPr>
          </w:p>
        </w:tc>
        <w:tc>
          <w:tcPr>
            <w:tcW w:w="54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by reference to Exhibit A to Exhibit 4.4 to Form 8-K filed August 7, 2020).</w:t>
              </w:r>
            </w:hyperlink>
          </w:p>
        </w:tc>
        <w:tc>
          <w:tcPr>
            <w:tcW w:w="4540" w:type="dxa"/>
            <w:vAlign w:val="bottom"/>
            <w:gridSpan w:val="11"/>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4.68</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3.300% Senior Notes due 2053 with attached Guarantee (incorporated</w:t>
              </w:r>
            </w:hyperlink>
          </w:p>
        </w:tc>
      </w:tr>
      <w:tr>
        <w:trPr>
          <w:trHeight w:val="196"/>
        </w:trPr>
        <w:tc>
          <w:tcPr>
            <w:tcW w:w="1260" w:type="dxa"/>
            <w:vAlign w:val="bottom"/>
          </w:tcPr>
          <w:p>
            <w:pPr>
              <w:spacing w:after="0"/>
              <w:rPr>
                <w:sz w:val="17"/>
                <w:szCs w:val="17"/>
                <w:color w:val="auto"/>
              </w:rPr>
            </w:pPr>
          </w:p>
        </w:tc>
        <w:tc>
          <w:tcPr>
            <w:tcW w:w="57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by reference to Exhibit A to Exhibit 4.3 to Form 8-K filed September 15, 2021).</w:t>
              </w:r>
            </w:hyperlink>
          </w:p>
        </w:tc>
        <w:tc>
          <w:tcPr>
            <w:tcW w:w="4200" w:type="dxa"/>
            <w:vAlign w:val="bottom"/>
            <w:gridSpan w:val="6"/>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4.69</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5.050% Senior Notes due 2026 with attached Guarantee</w:t>
              </w:r>
            </w:hyperlink>
          </w:p>
        </w:tc>
      </w:tr>
      <w:tr>
        <w:trPr>
          <w:trHeight w:val="196"/>
        </w:trPr>
        <w:tc>
          <w:tcPr>
            <w:tcW w:w="12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(incorporated by reference to Exhibit A to Exhibit 4.4 to Form 8-K filed January 10, 2023).</w:t>
              </w:r>
            </w:hyperlink>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4.70</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5.350% Senior Notes due 2033 with attached Guarantee (incorporated</w:t>
              </w:r>
            </w:hyperlink>
          </w:p>
        </w:tc>
      </w:tr>
      <w:tr>
        <w:trPr>
          <w:trHeight w:val="196"/>
        </w:trPr>
        <w:tc>
          <w:tcPr>
            <w:tcW w:w="126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by reference to Exhibit B to Exhibit 4.4 to Form 8-K filed January 10, 2023).</w:t>
              </w:r>
            </w:hyperlink>
          </w:p>
        </w:tc>
        <w:tc>
          <w:tcPr>
            <w:tcW w:w="440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4.71</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4.600% Senior Notes due 2027 with attached Guarantee (incorporated</w:t>
              </w:r>
            </w:hyperlink>
          </w:p>
        </w:tc>
      </w:tr>
      <w:tr>
        <w:trPr>
          <w:trHeight w:val="196"/>
        </w:trPr>
        <w:tc>
          <w:tcPr>
            <w:tcW w:w="1260" w:type="dxa"/>
            <w:vAlign w:val="bottom"/>
          </w:tcPr>
          <w:p>
            <w:pPr>
              <w:spacing w:after="0"/>
              <w:rPr>
                <w:sz w:val="17"/>
                <w:szCs w:val="17"/>
                <w:color w:val="auto"/>
              </w:rPr>
            </w:pPr>
          </w:p>
        </w:tc>
        <w:tc>
          <w:tcPr>
            <w:tcW w:w="55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by reference to Exhibit A to Exhibit 4.4 to Form 8-K filed January 11, 2024).</w:t>
              </w:r>
            </w:hyperlink>
          </w:p>
        </w:tc>
        <w:tc>
          <w:tcPr>
            <w:tcW w:w="4400" w:type="dxa"/>
            <w:vAlign w:val="bottom"/>
            <w:gridSpan w:val="9"/>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4.72</w:t>
            </w:r>
          </w:p>
        </w:tc>
        <w:tc>
          <w:tcPr>
            <w:tcW w:w="998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1.0 billion principal amount of 4.850% Senior Notes due 2034 with attached Guarantee (incorporated</w:t>
              </w:r>
            </w:hyperlink>
          </w:p>
        </w:tc>
      </w:tr>
      <w:tr>
        <w:trPr>
          <w:trHeight w:val="196"/>
        </w:trPr>
        <w:tc>
          <w:tcPr>
            <w:tcW w:w="1260" w:type="dxa"/>
            <w:vAlign w:val="bottom"/>
          </w:tcPr>
          <w:p>
            <w:pPr>
              <w:spacing w:after="0"/>
              <w:rPr>
                <w:sz w:val="17"/>
                <w:szCs w:val="17"/>
                <w:color w:val="auto"/>
              </w:rPr>
            </w:pPr>
          </w:p>
        </w:tc>
        <w:tc>
          <w:tcPr>
            <w:tcW w:w="55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by reference to Exhibit B to Exhibit 4.4 to Form 8-K filed January 11, 2024).</w:t>
              </w:r>
            </w:hyperlink>
          </w:p>
        </w:tc>
        <w:tc>
          <w:tcPr>
            <w:tcW w:w="4420" w:type="dxa"/>
            <w:vAlign w:val="bottom"/>
            <w:gridSpan w:val="10"/>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4.73</w:t>
            </w:r>
          </w:p>
        </w:tc>
        <w:tc>
          <w:tcPr>
            <w:tcW w:w="9980" w:type="dxa"/>
            <w:vAlign w:val="bottom"/>
            <w:gridSpan w:val="1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1.1 billion principal amount of 4.95% Senior Notes due 2035 with attached Guarantee (incorporated</w:t>
              </w:r>
            </w:hyperlink>
          </w:p>
        </w:tc>
      </w:tr>
      <w:tr>
        <w:trPr>
          <w:trHeight w:val="196"/>
        </w:trPr>
        <w:tc>
          <w:tcPr>
            <w:tcW w:w="126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92">
              <w:r>
                <w:rPr>
                  <w:rFonts w:ascii="Times New Roman" w:cs="Times New Roman" w:eastAsia="Times New Roman" w:hAnsi="Times New Roman"/>
                  <w:sz w:val="18"/>
                  <w:szCs w:val="18"/>
                  <w:color w:val="0000FF"/>
                  <w:w w:val="99"/>
                </w:rPr>
                <w:t>by reference to Exhibit A to Exhibit 4.4 to Form 8-K filed August 8, 2024).</w:t>
              </w:r>
            </w:hyperlink>
          </w:p>
        </w:tc>
        <w:tc>
          <w:tcPr>
            <w:tcW w:w="4500" w:type="dxa"/>
            <w:vAlign w:val="bottom"/>
            <w:tcBorders>
              <w:top w:val="single" w:sz="8" w:color="0000FF"/>
            </w:tcBorders>
            <w:gridSpan w:val="9"/>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4.74</w:t>
            </w:r>
          </w:p>
        </w:tc>
        <w:tc>
          <w:tcPr>
            <w:tcW w:w="9980" w:type="dxa"/>
            <w:vAlign w:val="bottom"/>
            <w:gridSpan w:val="1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1.4 billion principal amount of 5.55% Senior Notes due 2055 with attached Guarantee (incorporated</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by reference to Exhibit B to Exhibit 4.4 to Form 8-K filed August 8, 2024).</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5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4.75</w:t>
            </w:r>
          </w:p>
        </w:tc>
        <w:tc>
          <w:tcPr>
            <w:tcW w:w="9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500 million principal amount of 4.30% Senior Notes due 2028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by reference to Exhibit A to Exhibit 4.4 to Form 8-K filed June 20, 2025).</w:t>
              </w:r>
            </w:hyperlink>
          </w:p>
        </w:tc>
        <w:tc>
          <w:tcPr>
            <w:tcW w:w="464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4.76</w:t>
            </w:r>
          </w:p>
        </w:tc>
        <w:tc>
          <w:tcPr>
            <w:tcW w:w="9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4.60% Senior Notes due 2031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B to Exhibit 4.4 to Form 8-K filed June 20, 2025).</w:t>
              </w:r>
            </w:hyperlink>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4.77</w:t>
            </w:r>
          </w:p>
        </w:tc>
        <w:tc>
          <w:tcPr>
            <w:tcW w:w="9980" w:type="dxa"/>
            <w:vAlign w:val="bottom"/>
            <w:gridSpan w:val="15"/>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5.20% Senior Notes due 2036 with attached Guarantee (incorporated</w:t>
              </w:r>
            </w:hyperlink>
          </w:p>
        </w:tc>
      </w:tr>
      <w:tr>
        <w:trPr>
          <w:trHeight w:val="196"/>
        </w:trPr>
        <w:tc>
          <w:tcPr>
            <w:tcW w:w="1260" w:type="dxa"/>
            <w:vAlign w:val="bottom"/>
          </w:tcPr>
          <w:p>
            <w:pPr>
              <w:spacing w:after="0"/>
              <w:rPr>
                <w:sz w:val="17"/>
                <w:szCs w:val="17"/>
                <w:color w:val="auto"/>
              </w:rPr>
            </w:pPr>
          </w:p>
        </w:tc>
        <w:tc>
          <w:tcPr>
            <w:tcW w:w="994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C to Exhibit 4.4 to Form 8-K filed June 20, 2025).</w:t>
              </w:r>
            </w:hyperlink>
          </w:p>
        </w:tc>
        <w:tc>
          <w:tcPr>
            <w:tcW w:w="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3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4.78</w:t>
            </w:r>
          </w:p>
        </w:tc>
        <w:tc>
          <w:tcPr>
            <w:tcW w:w="9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300 million principal amount of 4.30% Senior Notes due 2028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53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93">
              <w:r>
                <w:rPr>
                  <w:rFonts w:ascii="Times New Roman" w:cs="Times New Roman" w:eastAsia="Times New Roman" w:hAnsi="Times New Roman"/>
                  <w:sz w:val="18"/>
                  <w:szCs w:val="18"/>
                  <w:color w:val="0000FF"/>
                  <w:w w:val="99"/>
                </w:rPr>
                <w:t>by reference to Exhibit A to Exhibit 4.4 to Form 8-K filed June 20, 2025).</w:t>
              </w:r>
            </w:hyperlink>
          </w:p>
        </w:tc>
        <w:tc>
          <w:tcPr>
            <w:tcW w:w="4640" w:type="dxa"/>
            <w:vAlign w:val="bottom"/>
            <w:gridSpan w:val="13"/>
          </w:tcPr>
          <w:p>
            <w:pPr>
              <w:spacing w:after="0"/>
              <w:rPr>
                <w:sz w:val="17"/>
                <w:szCs w:val="17"/>
                <w:color w:val="auto"/>
              </w:rPr>
            </w:pPr>
          </w:p>
        </w:tc>
      </w:tr>
      <w:tr>
        <w:trPr>
          <w:trHeight w:val="250"/>
        </w:trPr>
        <w:tc>
          <w:tcPr>
            <w:tcW w:w="12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4.79</w:t>
            </w:r>
          </w:p>
        </w:tc>
        <w:tc>
          <w:tcPr>
            <w:tcW w:w="99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600 million principal amount of 4.60% Senior Notes due 2031 with attached Guarantee (incorporated</w:t>
              </w:r>
            </w:hyperlink>
          </w:p>
        </w:tc>
        <w:tc>
          <w:tcPr>
            <w:tcW w:w="2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9980" w:type="dxa"/>
            <w:vAlign w:val="bottom"/>
            <w:gridSpan w:val="15"/>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B to Exhibit 4.4 to Form 8-K filed June 20, 2025).</w:t>
              </w:r>
            </w:hyperlink>
          </w:p>
        </w:tc>
      </w:tr>
      <w:tr>
        <w:trPr>
          <w:trHeight w:val="736"/>
        </w:trPr>
        <w:tc>
          <w:tcPr>
            <w:tcW w:w="1260" w:type="dxa"/>
            <w:vAlign w:val="bottom"/>
          </w:tcPr>
          <w:p>
            <w:pPr>
              <w:spacing w:after="0"/>
              <w:rPr>
                <w:sz w:val="24"/>
                <w:szCs w:val="24"/>
                <w:color w:val="auto"/>
              </w:rPr>
            </w:pPr>
          </w:p>
        </w:tc>
        <w:tc>
          <w:tcPr>
            <w:tcW w:w="5320" w:type="dxa"/>
            <w:vAlign w:val="bottom"/>
            <w:tcBorders>
              <w:top w:val="single" w:sz="8" w:color="0000FF"/>
            </w:tcBorders>
          </w:tcPr>
          <w:p>
            <w:pPr>
              <w:ind w:left="428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1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4.80</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Form of Global Note representing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750 million principal amount of 5.20% Senior Notes due 2036 with attached Guarantee (incorporated</w:t>
              </w:r>
            </w:hyperlink>
          </w:p>
        </w:tc>
      </w:tr>
      <w:tr>
        <w:trPr>
          <w:trHeight w:val="196"/>
        </w:trPr>
        <w:tc>
          <w:tcPr>
            <w:tcW w:w="12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by reference to Exhibit C to Exhibit 4.4 to Form 8-K filed June 20, 2025).</w:t>
              </w:r>
            </w:hyperlink>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4.81</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Replacement Capital Covenant, dated October 27, 2009, executed by Enterprise Products Operating LLC and Enterprise Products</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Partners L.P. in favor of the covered debtholders described therein (incorporated by reference to Exhibit 4.9 to Form 8-K filed October</w:t>
              </w:r>
            </w:hyperlink>
          </w:p>
        </w:tc>
      </w:tr>
      <w:tr>
        <w:trPr>
          <w:trHeight w:val="196"/>
        </w:trPr>
        <w:tc>
          <w:tcPr>
            <w:tcW w:w="1240" w:type="dxa"/>
            <w:vAlign w:val="bottom"/>
          </w:tcPr>
          <w:p>
            <w:pPr>
              <w:spacing w:after="0"/>
              <w:rPr>
                <w:sz w:val="17"/>
                <w:szCs w:val="17"/>
                <w:color w:val="auto"/>
              </w:rPr>
            </w:pPr>
          </w:p>
        </w:tc>
        <w:tc>
          <w:tcPr>
            <w:tcW w:w="74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02">
              <w:r>
                <w:rPr>
                  <w:rFonts w:ascii="Times New Roman" w:cs="Times New Roman" w:eastAsia="Times New Roman" w:hAnsi="Times New Roman"/>
                  <w:sz w:val="18"/>
                  <w:szCs w:val="18"/>
                  <w:color w:val="0000FF"/>
                  <w:w w:val="97"/>
                </w:rPr>
                <w:t>28, 2009).</w:t>
              </w:r>
            </w:hyperlink>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4.82</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Amendment to Replacement Capital Covenants, dated May 6, 2015, executed by Enterprise Products Operating LLC and Enterprise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03">
              <w:r>
                <w:rPr>
                  <w:rFonts w:ascii="Times New Roman" w:cs="Times New Roman" w:eastAsia="Times New Roman" w:hAnsi="Times New Roman"/>
                  <w:sz w:val="18"/>
                  <w:szCs w:val="18"/>
                  <w:color w:val="0000FF"/>
                  <w:w w:val="99"/>
                </w:rPr>
                <w:t>Products Partners L.P. in favor of the covered debtholders described therein (incorporated by reference to Exhibit 4.59 to Form 10-Q filed</w:t>
              </w:r>
            </w:hyperlink>
          </w:p>
        </w:tc>
      </w:tr>
      <w:tr>
        <w:trPr>
          <w:trHeight w:val="196"/>
        </w:trPr>
        <w:tc>
          <w:tcPr>
            <w:tcW w:w="12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May 8, 2015).</w:t>
              </w:r>
            </w:hyperlink>
          </w:p>
        </w:tc>
      </w:tr>
      <w:tr>
        <w:trPr>
          <w:trHeight w:val="20"/>
        </w:trPr>
        <w:tc>
          <w:tcPr>
            <w:tcW w:w="124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4.83</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Specimen Unit Certificate for the Series A Cumulative Convertible Preferred Units, (incorporated by reference to Exhibit B to Exhibit 3.1</w:t>
              </w:r>
            </w:hyperlink>
          </w:p>
        </w:tc>
      </w:tr>
      <w:tr>
        <w:trPr>
          <w:trHeight w:val="196"/>
        </w:trPr>
        <w:tc>
          <w:tcPr>
            <w:tcW w:w="1240" w:type="dxa"/>
            <w:vAlign w:val="bottom"/>
          </w:tcPr>
          <w:p>
            <w:pPr>
              <w:spacing w:after="0"/>
              <w:rPr>
                <w:sz w:val="17"/>
                <w:szCs w:val="17"/>
                <w:color w:val="auto"/>
              </w:rPr>
            </w:pPr>
          </w:p>
        </w:tc>
        <w:tc>
          <w:tcPr>
            <w:tcW w:w="26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to Form 8-K filed October 1, 2020).</w:t>
              </w:r>
            </w:hyperlink>
          </w:p>
        </w:tc>
        <w:tc>
          <w:tcPr>
            <w:tcW w:w="7360" w:type="dxa"/>
            <w:vAlign w:val="bottom"/>
            <w:gridSpan w:val="9"/>
          </w:tcPr>
          <w:p>
            <w:pPr>
              <w:spacing w:after="0"/>
              <w:rPr>
                <w:sz w:val="17"/>
                <w:szCs w:val="17"/>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4.84</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Registration Rights Agreement, dated as of September 30, 2020, by and among Enterprise Products Partners L.P. and the Purchasers party</w:t>
              </w:r>
            </w:hyperlink>
          </w:p>
        </w:tc>
      </w:tr>
      <w:tr>
        <w:trPr>
          <w:trHeight w:val="196"/>
        </w:trPr>
        <w:tc>
          <w:tcPr>
            <w:tcW w:w="12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thereto (incorporated by reference to Exhibit 4.2 to Form 8-K filed October 1, 2020).</w:t>
              </w:r>
            </w:hyperlink>
          </w:p>
        </w:tc>
      </w:tr>
      <w:tr>
        <w:trPr>
          <w:trHeight w:val="20"/>
        </w:trPr>
        <w:tc>
          <w:tcPr>
            <w:tcW w:w="1240" w:type="dxa"/>
            <w:vAlign w:val="bottom"/>
          </w:tcPr>
          <w:p>
            <w:pPr>
              <w:spacing w:after="0" w:line="20" w:lineRule="exact"/>
              <w:rPr>
                <w:sz w:val="1"/>
                <w:szCs w:val="1"/>
                <w:color w:val="auto"/>
              </w:rPr>
            </w:pPr>
          </w:p>
        </w:tc>
        <w:tc>
          <w:tcPr>
            <w:tcW w:w="564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364-Day Revolving Credit Agreement, dated as of March 27, 2026, by and among Enterprise Products Operating LLC, as Borrower, the</w:t>
              </w:r>
            </w:hyperlink>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Lenders party thereto, Citibank, N.A., as Administrative Agent, and certain financial institutions named therein, as Co-Syndication</w:t>
              </w:r>
            </w:hyperlink>
          </w:p>
        </w:tc>
      </w:tr>
      <w:tr>
        <w:trPr>
          <w:trHeight w:val="196"/>
        </w:trPr>
        <w:tc>
          <w:tcPr>
            <w:tcW w:w="12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Agents and Co-Documentation Agents (incorporated by reference to Exhibit 10.1 to Form 8-K filed March 27, 2026).</w:t>
              </w:r>
            </w:hyperlink>
          </w:p>
        </w:tc>
      </w:tr>
      <w:tr>
        <w:trPr>
          <w:trHeight w:val="20"/>
        </w:trPr>
        <w:tc>
          <w:tcPr>
            <w:tcW w:w="1240" w:type="dxa"/>
            <w:vAlign w:val="bottom"/>
          </w:tcPr>
          <w:p>
            <w:pPr>
              <w:spacing w:after="0" w:line="20" w:lineRule="exact"/>
              <w:rPr>
                <w:sz w:val="1"/>
                <w:szCs w:val="1"/>
                <w:color w:val="auto"/>
              </w:rPr>
            </w:pPr>
          </w:p>
        </w:tc>
        <w:tc>
          <w:tcPr>
            <w:tcW w:w="5640" w:type="dxa"/>
            <w:vAlign w:val="bottom"/>
            <w:gridSpan w:val="5"/>
            <w:shd w:val="clear" w:color="auto" w:fill="0000FF"/>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Guaranty Agreement, dated as of March 27, 2026, by Enterprise Products Partners L.P. in favor of Citibank, N.A., as administrative agent</w:t>
              </w:r>
            </w:hyperlink>
          </w:p>
        </w:tc>
      </w:tr>
      <w:tr>
        <w:trPr>
          <w:trHeight w:val="196"/>
        </w:trPr>
        <w:tc>
          <w:tcPr>
            <w:tcW w:w="1240" w:type="dxa"/>
            <w:vAlign w:val="bottom"/>
          </w:tcPr>
          <w:p>
            <w:pPr>
              <w:spacing w:after="0"/>
              <w:rPr>
                <w:sz w:val="17"/>
                <w:szCs w:val="17"/>
                <w:color w:val="auto"/>
              </w:rPr>
            </w:pPr>
          </w:p>
        </w:tc>
        <w:tc>
          <w:tcPr>
            <w:tcW w:w="9960" w:type="dxa"/>
            <w:vAlign w:val="bottom"/>
            <w:gridSpan w:val="12"/>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(incorporated by reference to Exhibit 10.2 to Form 8-K filed March 27, 2026).</w:t>
              </w:r>
            </w:hyperlink>
          </w:p>
        </w:tc>
      </w:tr>
      <w:tr>
        <w:trPr>
          <w:trHeight w:val="20"/>
        </w:trPr>
        <w:tc>
          <w:tcPr>
            <w:tcW w:w="1240" w:type="dxa"/>
            <w:vAlign w:val="bottom"/>
          </w:tcPr>
          <w:p>
            <w:pPr>
              <w:spacing w:after="0" w:line="20" w:lineRule="exact"/>
              <w:rPr>
                <w:sz w:val="1"/>
                <w:szCs w:val="1"/>
                <w:color w:val="auto"/>
              </w:rPr>
            </w:pPr>
          </w:p>
        </w:tc>
        <w:tc>
          <w:tcPr>
            <w:tcW w:w="5640" w:type="dxa"/>
            <w:vAlign w:val="bottom"/>
            <w:gridSpan w:val="5"/>
            <w:shd w:val="clear" w:color="auto" w:fill="0000FF"/>
          </w:tcPr>
          <w:p>
            <w:pPr>
              <w:spacing w:after="0" w:line="20" w:lineRule="exact"/>
              <w:rPr>
                <w:sz w:val="1"/>
                <w:szCs w:val="1"/>
                <w:color w:val="auto"/>
              </w:rPr>
            </w:pPr>
          </w:p>
        </w:tc>
        <w:tc>
          <w:tcPr>
            <w:tcW w:w="3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22.1#</w:t>
            </w:r>
          </w:p>
        </w:tc>
        <w:tc>
          <w:tcPr>
            <w:tcW w:w="9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List of Issuers of Debt Securities Guaranteed by Enterprise Products Partners L.P. and Associated Securities at March 31, 2026.</w:t>
            </w:r>
          </w:p>
        </w:tc>
        <w:tc>
          <w:tcPr>
            <w:tcW w:w="760" w:type="dxa"/>
            <w:vAlign w:val="bottom"/>
            <w:gridSpan w:val="4"/>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Sarbanes-Oxley Section 302 certification of A. James Teague for Enterprise Products Partners L.P.’s quarterly report on Form 10-Q.</w:t>
            </w:r>
          </w:p>
        </w:tc>
        <w:tc>
          <w:tcPr>
            <w:tcW w:w="440" w:type="dxa"/>
            <w:vAlign w:val="bottom"/>
            <w:gridSpan w:val="2"/>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Sarbanes-Oxley Section 302 certification of W. Randall Fowler for Enterprise Products Partners L.P.’s quarterly report on Form 10-Q.</w:t>
            </w:r>
          </w:p>
        </w:tc>
        <w:tc>
          <w:tcPr>
            <w:tcW w:w="30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Sarbanes-Oxley Section 302 certification of R. Daniel Boss for Enterprise Products Partners L.P.’s quarterly report on Form 10-Q.</w:t>
            </w:r>
          </w:p>
        </w:tc>
        <w:tc>
          <w:tcPr>
            <w:tcW w:w="580" w:type="dxa"/>
            <w:vAlign w:val="bottom"/>
            <w:gridSpan w:val="3"/>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5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Sarbanes-Oxley Section 906 certification of A. James Teague for Enterprise Products Partners L.P.’s quarterly report on Form 10-Q.</w:t>
            </w:r>
          </w:p>
        </w:tc>
        <w:tc>
          <w:tcPr>
            <w:tcW w:w="440" w:type="dxa"/>
            <w:vAlign w:val="bottom"/>
            <w:gridSpan w:val="2"/>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Sarbanes-Oxley Section 906 certification of W. Randall Fowler for Enterprise Products Partners L.P.’s quarterly report on Form 10-Q.</w:t>
            </w:r>
          </w:p>
        </w:tc>
        <w:tc>
          <w:tcPr>
            <w:tcW w:w="300" w:type="dxa"/>
            <w:vAlign w:val="bottom"/>
          </w:tcPr>
          <w:p>
            <w:pPr>
              <w:spacing w:after="0"/>
              <w:rPr>
                <w:sz w:val="21"/>
                <w:szCs w:val="21"/>
                <w:color w:val="auto"/>
              </w:rPr>
            </w:pPr>
          </w:p>
        </w:tc>
      </w:tr>
      <w:tr>
        <w:trPr>
          <w:trHeight w:val="25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93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Sarbanes-Oxley Section 906 certification of R. Daniel Boss for Enterprise Products Partners L.P.’s quarterly report on Form 10-Q.</w:t>
            </w:r>
          </w:p>
        </w:tc>
        <w:tc>
          <w:tcPr>
            <w:tcW w:w="580" w:type="dxa"/>
            <w:vAlign w:val="bottom"/>
            <w:gridSpan w:val="3"/>
          </w:tcPr>
          <w:p>
            <w:pPr>
              <w:spacing w:after="0"/>
              <w:rPr>
                <w:sz w:val="21"/>
                <w:szCs w:val="21"/>
                <w:color w:val="auto"/>
              </w:rPr>
            </w:pPr>
          </w:p>
        </w:tc>
      </w:tr>
      <w:tr>
        <w:trPr>
          <w:trHeight w:val="27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w w:val="99"/>
              </w:rPr>
              <w:t>Interactive data files pursuant to Rule 405 of Regulation S-T formatted in iXBRL (Inline Extensible Business Reporting Language) in this</w:t>
            </w:r>
          </w:p>
        </w:tc>
      </w:tr>
      <w:tr>
        <w:trPr>
          <w:trHeight w:val="216"/>
        </w:trPr>
        <w:tc>
          <w:tcPr>
            <w:tcW w:w="124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10-Q include the: (i) Unaudited Condensed Consolidated Balance Sheets, (ii) Unaudited Condensed Statements of Consolidated</w:t>
            </w:r>
          </w:p>
        </w:tc>
      </w:tr>
      <w:tr>
        <w:trPr>
          <w:trHeight w:val="216"/>
        </w:trPr>
        <w:tc>
          <w:tcPr>
            <w:tcW w:w="124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Operations, (iii) Unaudited Condensed Statements of Consolidated Comprehensive Income, (iv) Unaudited Condensed Statements of</w:t>
            </w:r>
          </w:p>
        </w:tc>
      </w:tr>
      <w:tr>
        <w:trPr>
          <w:trHeight w:val="216"/>
        </w:trPr>
        <w:tc>
          <w:tcPr>
            <w:tcW w:w="1240" w:type="dxa"/>
            <w:vAlign w:val="bottom"/>
          </w:tcPr>
          <w:p>
            <w:pPr>
              <w:spacing w:after="0"/>
              <w:rPr>
                <w:sz w:val="18"/>
                <w:szCs w:val="18"/>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Consolidated Cash Flows, (v) Unaudited Condensed Statements of Consolidated Equity and (vi) Notes to the Unaudited Condensed</w:t>
            </w:r>
          </w:p>
        </w:tc>
      </w:tr>
      <w:tr>
        <w:trPr>
          <w:trHeight w:val="234"/>
        </w:trPr>
        <w:tc>
          <w:tcPr>
            <w:tcW w:w="1240" w:type="dxa"/>
            <w:vAlign w:val="bottom"/>
          </w:tcPr>
          <w:p>
            <w:pPr>
              <w:spacing w:after="0"/>
              <w:rPr>
                <w:sz w:val="20"/>
                <w:szCs w:val="20"/>
                <w:color w:val="auto"/>
              </w:rPr>
            </w:pP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7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iXBRL document).</w:t>
            </w:r>
          </w:p>
        </w:tc>
      </w:tr>
    </w:tbl>
    <w:p>
      <w:pPr>
        <w:spacing w:after="0" w:line="36" w:lineRule="exact"/>
        <w:rPr>
          <w:sz w:val="20"/>
          <w:szCs w:val="20"/>
          <w:color w:val="auto"/>
        </w:rPr>
      </w:pPr>
    </w:p>
    <w:p>
      <w:pPr>
        <w:ind w:left="1260" w:hanging="1234"/>
        <w:spacing w:after="0"/>
        <w:tabs>
          <w:tab w:leader="none" w:pos="1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May 7, 2026.</w:t>
      </w:r>
    </w:p>
    <w:p>
      <w:pPr>
        <w:spacing w:after="0" w:line="2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ENTERPRISE PRODUCTS PARTNERS L.P.</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(A Delaware Limited Partnership)</w:t>
      </w:r>
    </w:p>
    <w:p>
      <w:pPr>
        <w:spacing w:after="0" w:line="153" w:lineRule="exact"/>
        <w:rPr>
          <w:sz w:val="20"/>
          <w:szCs w:val="20"/>
          <w:color w:val="auto"/>
        </w:rPr>
      </w:pPr>
    </w:p>
    <w:tbl>
      <w:tblPr>
        <w:tblLayout w:type="fixed"/>
        <w:tblInd w:w="47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Products Holdings LLC, as General Partner</w:t>
            </w:r>
          </w:p>
        </w:tc>
        <w:tc>
          <w:tcPr>
            <w:tcW w:w="0" w:type="dxa"/>
            <w:vAlign w:val="bottom"/>
          </w:tcPr>
          <w:p>
            <w:pPr>
              <w:spacing w:after="0"/>
              <w:rPr>
                <w:sz w:val="1"/>
                <w:szCs w:val="1"/>
                <w:color w:val="auto"/>
              </w:rPr>
            </w:pPr>
          </w:p>
        </w:tc>
      </w:tr>
      <w:tr>
        <w:trPr>
          <w:trHeight w:val="54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R. Daniel Boss</w:t>
            </w:r>
          </w:p>
        </w:tc>
        <w:tc>
          <w:tcPr>
            <w:tcW w:w="0" w:type="dxa"/>
            <w:vAlign w:val="bottom"/>
          </w:tcPr>
          <w:p>
            <w:pPr>
              <w:spacing w:after="0"/>
              <w:rPr>
                <w:sz w:val="1"/>
                <w:szCs w:val="1"/>
                <w:color w:val="auto"/>
              </w:rPr>
            </w:pPr>
          </w:p>
        </w:tc>
      </w:tr>
      <w:tr>
        <w:trPr>
          <w:trHeight w:val="34"/>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500" w:type="dxa"/>
            <w:vAlign w:val="bottom"/>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 w:type="dxa"/>
            <w:vAlign w:val="bottom"/>
            <w:vMerge w:val="continue"/>
          </w:tcPr>
          <w:p>
            <w:pPr>
              <w:spacing w:after="0"/>
              <w:rPr>
                <w:sz w:val="21"/>
                <w:szCs w:val="21"/>
                <w:color w:val="auto"/>
              </w:rPr>
            </w:pPr>
          </w:p>
        </w:tc>
        <w:tc>
          <w:tcPr>
            <w:tcW w:w="50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 Daniel Boss</w:t>
            </w:r>
          </w:p>
        </w:tc>
        <w:tc>
          <w:tcPr>
            <w:tcW w:w="0" w:type="dxa"/>
            <w:vAlign w:val="bottom"/>
          </w:tcPr>
          <w:p>
            <w:pPr>
              <w:spacing w:after="0"/>
              <w:rPr>
                <w:sz w:val="1"/>
                <w:szCs w:val="1"/>
                <w:color w:val="auto"/>
              </w:rPr>
            </w:pPr>
          </w:p>
        </w:tc>
      </w:tr>
      <w:tr>
        <w:trPr>
          <w:trHeight w:val="25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 of the General</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Partner</w:t>
            </w:r>
          </w:p>
        </w:tc>
        <w:tc>
          <w:tcPr>
            <w:tcW w:w="0" w:type="dxa"/>
            <w:vAlign w:val="bottom"/>
          </w:tcPr>
          <w:p>
            <w:pPr>
              <w:spacing w:after="0"/>
              <w:rPr>
                <w:sz w:val="1"/>
                <w:szCs w:val="1"/>
                <w:color w:val="auto"/>
              </w:rPr>
            </w:pPr>
          </w:p>
        </w:tc>
      </w:tr>
      <w:tr>
        <w:trPr>
          <w:trHeight w:val="715"/>
        </w:trPr>
        <w:tc>
          <w:tcPr>
            <w:tcW w:w="640" w:type="dxa"/>
            <w:vAlign w:val="bottom"/>
          </w:tcPr>
          <w:p>
            <w:pPr>
              <w:spacing w:after="0"/>
              <w:rPr>
                <w:sz w:val="24"/>
                <w:szCs w:val="24"/>
                <w:color w:val="auto"/>
              </w:rPr>
            </w:pPr>
          </w:p>
        </w:tc>
        <w:tc>
          <w:tcPr>
            <w:tcW w:w="5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w:t>
            </w: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2"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of Debt Securities Guaranteed by Enterprise Products Partners L.P. and Associated Securities at March 31, 2026.</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compliance with Item 601(b)(22) of Regulation S-K, the following is a list of publicly traded debt securities issued by Enterprise Products Operating LLC (the “Subsidiary Issuer”) and guaranteed by Enterprise Products Partners L.P. (the “Parent Guarantor”) (dollars in millions):</w:t>
      </w:r>
    </w:p>
    <w:p>
      <w:pPr>
        <w:sectPr>
          <w:pgSz w:w="11900" w:h="16838" w:orient="portrait"/>
          <w:cols w:equalWidth="0" w:num="1">
            <w:col w:w="11240"/>
          </w:cols>
          <w:pgMar w:left="320" w:top="117" w:right="339" w:bottom="1440" w:gutter="0" w:footer="0" w:header="0"/>
        </w:sectPr>
      </w:pPr>
    </w:p>
    <w:bookmarkStart w:id="72" w:name="page73"/>
    <w:bookmarkEnd w:id="72"/>
    <w:p>
      <w:pPr>
        <w:jc w:val="center"/>
        <w:ind w:left="6140"/>
        <w:spacing w:after="0"/>
        <w:rPr>
          <w:sz w:val="20"/>
          <w:szCs w:val="20"/>
          <w:color w:val="auto"/>
        </w:rPr>
      </w:pPr>
      <w:r>
        <w:rPr>
          <w:rFonts w:ascii="Times New Roman" w:cs="Times New Roman" w:eastAsia="Times New Roman" w:hAnsi="Times New Roman"/>
          <w:sz w:val="14"/>
          <w:szCs w:val="14"/>
          <w:b w:val="1"/>
          <w:bCs w:val="1"/>
          <w:color w:val="auto"/>
        </w:rPr>
        <w:t>Amounts Outstanding at</w:t>
      </w:r>
    </w:p>
    <w:p>
      <w:pPr>
        <w:spacing w:after="0" w:line="20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4"/>
          <w:szCs w:val="14"/>
          <w:b w:val="1"/>
          <w:bCs w:val="1"/>
          <w:color w:val="auto"/>
        </w:rPr>
        <w:t>March 31, 2026</w:t>
      </w:r>
    </w:p>
    <w:p>
      <w:pPr>
        <w:ind w:left="2780"/>
        <w:spacing w:after="0"/>
        <w:rPr>
          <w:sz w:val="20"/>
          <w:szCs w:val="20"/>
          <w:color w:val="auto"/>
        </w:rPr>
      </w:pPr>
      <w:r>
        <w:rPr>
          <w:rFonts w:ascii="Times New Roman" w:cs="Times New Roman" w:eastAsia="Times New Roman" w:hAnsi="Times New Roman"/>
          <w:sz w:val="14"/>
          <w:szCs w:val="14"/>
          <w:b w:val="1"/>
          <w:bCs w:val="1"/>
          <w:color w:val="auto"/>
        </w:rPr>
        <w:t>Guaranteed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8">
                      <a:extLst>
                        <a:ext uri="{28A0092B-C50C-407E-A947-70E740481C1C}"/>
                      </a:extLst>
                    </a:blip>
                    <a:srcRect/>
                    <a:stretch>
                      <a:fillRect/>
                    </a:stretch>
                  </pic:blipFill>
                  <pic:spPr bwMode="auto">
                    <a:xfrm>
                      <a:off x="0" y="0"/>
                      <a:ext cx="5829300" cy="248920"/>
                    </a:xfrm>
                    <a:prstGeom prst="rect">
                      <a:avLst/>
                    </a:prstGeom>
                    <a:noFill/>
                  </pic:spPr>
                </pic:pic>
              </a:graphicData>
            </a:graphic>
          </wp:anchor>
        </w:drawing>
      </w:r>
    </w:p>
    <w:p>
      <w:pPr>
        <w:spacing w:after="0" w:line="50" w:lineRule="exact"/>
        <w:rPr>
          <w:sz w:val="20"/>
          <w:szCs w:val="20"/>
          <w:color w:val="auto"/>
        </w:rPr>
      </w:pPr>
    </w:p>
    <w:p>
      <w:pPr>
        <w:jc w:val="both"/>
        <w:ind w:left="7100"/>
        <w:spacing w:after="0"/>
        <w:tabs>
          <w:tab w:leader="none" w:pos="880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HHH, 4.60% fixed-rate, due January 2027</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575</w:t>
      </w:r>
    </w:p>
    <w:p>
      <w:pPr>
        <w:spacing w:after="0"/>
        <w:rPr>
          <w:sz w:val="20"/>
          <w:szCs w:val="20"/>
          <w:color w:val="auto"/>
        </w:rPr>
      </w:pPr>
      <w:r>
        <w:rPr>
          <w:rFonts w:ascii="Times New Roman" w:cs="Times New Roman" w:eastAsia="Times New Roman" w:hAnsi="Times New Roman"/>
          <w:sz w:val="14"/>
          <w:szCs w:val="14"/>
          <w:color w:val="auto"/>
        </w:rPr>
        <w:t>Senior Notes SS, 3.95% fixed-rate, due February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46" w:lineRule="exact"/>
        <w:rPr>
          <w:sz w:val="20"/>
          <w:szCs w:val="20"/>
          <w:color w:val="auto"/>
        </w:rPr>
      </w:pPr>
    </w:p>
    <w:p>
      <w:pPr>
        <w:ind w:left="120"/>
        <w:spacing w:after="0"/>
        <w:tabs>
          <w:tab w:leader="none" w:pos="8920" w:val="left"/>
        </w:tabs>
        <w:rPr>
          <w:sz w:val="20"/>
          <w:szCs w:val="20"/>
          <w:color w:val="auto"/>
        </w:rPr>
      </w:pPr>
      <w:r>
        <w:rPr>
          <w:rFonts w:ascii="Times New Roman" w:cs="Times New Roman" w:eastAsia="Times New Roman" w:hAnsi="Times New Roman"/>
          <w:sz w:val="14"/>
          <w:szCs w:val="14"/>
          <w:color w:val="auto"/>
        </w:rPr>
        <w:t>Senior Notes LLL, 4.30%, fixed-rate, due June 2028</w:t>
      </w:r>
      <w:r>
        <w:rPr>
          <w:sz w:val="20"/>
          <w:szCs w:val="20"/>
          <w:color w:val="auto"/>
        </w:rPr>
        <w:tab/>
      </w:r>
      <w:r>
        <w:rPr>
          <w:rFonts w:ascii="Times New Roman" w:cs="Times New Roman" w:eastAsia="Times New Roman" w:hAnsi="Times New Roman"/>
          <w:sz w:val="13"/>
          <w:szCs w:val="13"/>
          <w:color w:val="auto"/>
        </w:rPr>
        <w:t>800</w:t>
      </w:r>
    </w:p>
    <w:p>
      <w:pPr>
        <w:spacing w:after="0" w:line="207"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WW, 4.15% fixed-rate, due October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0">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1,250</w:t>
      </w:r>
    </w:p>
    <w:p>
      <w:pPr>
        <w:spacing w:after="0"/>
        <w:rPr>
          <w:sz w:val="20"/>
          <w:szCs w:val="20"/>
          <w:color w:val="auto"/>
        </w:rPr>
      </w:pPr>
      <w:r>
        <w:rPr>
          <w:rFonts w:ascii="Times New Roman" w:cs="Times New Roman" w:eastAsia="Times New Roman" w:hAnsi="Times New Roman"/>
          <w:sz w:val="14"/>
          <w:szCs w:val="14"/>
          <w:color w:val="auto"/>
        </w:rPr>
        <w:t>Senior Notes YY, 3.125% fixed-rate, due July 2029</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1,250</w:t>
      </w:r>
    </w:p>
    <w:p>
      <w:pPr>
        <w:spacing w:after="0"/>
        <w:rPr>
          <w:sz w:val="20"/>
          <w:szCs w:val="20"/>
          <w:color w:val="auto"/>
        </w:rPr>
      </w:pPr>
      <w:r>
        <w:rPr>
          <w:rFonts w:ascii="Times New Roman" w:cs="Times New Roman" w:eastAsia="Times New Roman" w:hAnsi="Times New Roman"/>
          <w:sz w:val="14"/>
          <w:szCs w:val="14"/>
          <w:color w:val="auto"/>
        </w:rPr>
        <w:t>Senior Notes AAA, 2.80% fixed-rate, due January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1,350</w:t>
      </w:r>
    </w:p>
    <w:p>
      <w:pPr>
        <w:spacing w:after="0"/>
        <w:rPr>
          <w:sz w:val="20"/>
          <w:szCs w:val="20"/>
          <w:color w:val="auto"/>
        </w:rPr>
      </w:pPr>
      <w:r>
        <w:rPr>
          <w:rFonts w:ascii="Times New Roman" w:cs="Times New Roman" w:eastAsia="Times New Roman" w:hAnsi="Times New Roman"/>
          <w:sz w:val="14"/>
          <w:szCs w:val="14"/>
          <w:color w:val="auto"/>
        </w:rPr>
        <w:t>Senior Notes MMM, 4.60% fixed-rate, due January 2031</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GGG, 5.35% fixed-rate, due January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500</w:t>
      </w:r>
    </w:p>
    <w:p>
      <w:pPr>
        <w:spacing w:after="0"/>
        <w:rPr>
          <w:sz w:val="20"/>
          <w:szCs w:val="20"/>
          <w:color w:val="auto"/>
        </w:rPr>
      </w:pPr>
      <w:r>
        <w:rPr>
          <w:rFonts w:ascii="Times New Roman" w:cs="Times New Roman" w:eastAsia="Times New Roman" w:hAnsi="Times New Roman"/>
          <w:sz w:val="14"/>
          <w:szCs w:val="14"/>
          <w:color w:val="auto"/>
        </w:rPr>
        <w:t>Senior Notes D, 6.875% fixed-rate, due March 2033</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III, 4.85% fixed-rate, due January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350</w:t>
      </w:r>
    </w:p>
    <w:p>
      <w:pPr>
        <w:spacing w:after="0"/>
        <w:rPr>
          <w:sz w:val="20"/>
          <w:szCs w:val="20"/>
          <w:color w:val="auto"/>
        </w:rPr>
      </w:pPr>
      <w:r>
        <w:rPr>
          <w:rFonts w:ascii="Times New Roman" w:cs="Times New Roman" w:eastAsia="Times New Roman" w:hAnsi="Times New Roman"/>
          <w:sz w:val="14"/>
          <w:szCs w:val="14"/>
          <w:color w:val="auto"/>
        </w:rPr>
        <w:t>Senior Notes H, 6.65% fixed-rate, due October 2034</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1,100</w:t>
      </w:r>
    </w:p>
    <w:p>
      <w:pPr>
        <w:spacing w:after="0"/>
        <w:rPr>
          <w:sz w:val="20"/>
          <w:szCs w:val="20"/>
          <w:color w:val="auto"/>
        </w:rPr>
      </w:pPr>
      <w:r>
        <w:rPr>
          <w:rFonts w:ascii="Times New Roman" w:cs="Times New Roman" w:eastAsia="Times New Roman" w:hAnsi="Times New Roman"/>
          <w:sz w:val="14"/>
          <w:szCs w:val="14"/>
          <w:color w:val="auto"/>
        </w:rPr>
        <w:t>Senior Notes JJJ, 4.95% fixed-rate, due February 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250</w:t>
      </w:r>
    </w:p>
    <w:p>
      <w:pPr>
        <w:spacing w:after="0"/>
        <w:rPr>
          <w:sz w:val="20"/>
          <w:szCs w:val="20"/>
          <w:color w:val="auto"/>
        </w:rPr>
      </w:pPr>
      <w:r>
        <w:rPr>
          <w:rFonts w:ascii="Times New Roman" w:cs="Times New Roman" w:eastAsia="Times New Roman" w:hAnsi="Times New Roman"/>
          <w:sz w:val="14"/>
          <w:szCs w:val="14"/>
          <w:color w:val="auto"/>
        </w:rPr>
        <w:t>Senior Notes J, 5.75% fixed-rate, due March 2035</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1,500</w:t>
      </w:r>
    </w:p>
    <w:p>
      <w:pPr>
        <w:spacing w:after="0"/>
        <w:rPr>
          <w:sz w:val="20"/>
          <w:szCs w:val="20"/>
          <w:color w:val="auto"/>
        </w:rPr>
      </w:pPr>
      <w:r>
        <w:rPr>
          <w:rFonts w:ascii="Times New Roman" w:cs="Times New Roman" w:eastAsia="Times New Roman" w:hAnsi="Times New Roman"/>
          <w:sz w:val="14"/>
          <w:szCs w:val="14"/>
          <w:color w:val="auto"/>
        </w:rPr>
        <w:t>Senior Notes NNN, 5.20% fixed-rate, due January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400</w:t>
      </w:r>
    </w:p>
    <w:p>
      <w:pPr>
        <w:spacing w:after="0"/>
        <w:rPr>
          <w:sz w:val="20"/>
          <w:szCs w:val="20"/>
          <w:color w:val="auto"/>
        </w:rPr>
      </w:pPr>
      <w:r>
        <w:rPr>
          <w:rFonts w:ascii="Times New Roman" w:cs="Times New Roman" w:eastAsia="Times New Roman" w:hAnsi="Times New Roman"/>
          <w:sz w:val="14"/>
          <w:szCs w:val="14"/>
          <w:color w:val="auto"/>
        </w:rPr>
        <w:t>Senior Notes W, 7.55% fixed-rate, due April 2038</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600</w:t>
      </w:r>
    </w:p>
    <w:p>
      <w:pPr>
        <w:spacing w:after="0"/>
        <w:rPr>
          <w:sz w:val="20"/>
          <w:szCs w:val="20"/>
          <w:color w:val="auto"/>
        </w:rPr>
      </w:pPr>
      <w:r>
        <w:rPr>
          <w:rFonts w:ascii="Times New Roman" w:cs="Times New Roman" w:eastAsia="Times New Roman" w:hAnsi="Times New Roman"/>
          <w:sz w:val="14"/>
          <w:szCs w:val="14"/>
          <w:color w:val="auto"/>
        </w:rPr>
        <w:t>Senior Notes R, 6.125% fixed-rate, due October 2039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600</w:t>
      </w:r>
    </w:p>
    <w:p>
      <w:pPr>
        <w:spacing w:after="0"/>
        <w:rPr>
          <w:sz w:val="20"/>
          <w:szCs w:val="20"/>
          <w:color w:val="auto"/>
        </w:rPr>
      </w:pPr>
      <w:r>
        <w:rPr>
          <w:rFonts w:ascii="Times New Roman" w:cs="Times New Roman" w:eastAsia="Times New Roman" w:hAnsi="Times New Roman"/>
          <w:sz w:val="14"/>
          <w:szCs w:val="14"/>
          <w:color w:val="auto"/>
        </w:rPr>
        <w:t>Senior Notes Z, 6.45% fixed-rate, due September 2040</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750</w:t>
      </w:r>
    </w:p>
    <w:p>
      <w:pPr>
        <w:spacing w:after="0"/>
        <w:rPr>
          <w:sz w:val="20"/>
          <w:szCs w:val="20"/>
          <w:color w:val="auto"/>
        </w:rPr>
      </w:pPr>
      <w:r>
        <w:rPr>
          <w:rFonts w:ascii="Times New Roman" w:cs="Times New Roman" w:eastAsia="Times New Roman" w:hAnsi="Times New Roman"/>
          <w:sz w:val="14"/>
          <w:szCs w:val="14"/>
          <w:color w:val="auto"/>
        </w:rPr>
        <w:t>Senior Notes BB, 5.95% fixed-rate, due February 2041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7">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600</w:t>
      </w:r>
    </w:p>
    <w:p>
      <w:pPr>
        <w:spacing w:after="0"/>
        <w:rPr>
          <w:sz w:val="20"/>
          <w:szCs w:val="20"/>
          <w:color w:val="auto"/>
        </w:rPr>
      </w:pPr>
      <w:r>
        <w:rPr>
          <w:rFonts w:ascii="Times New Roman" w:cs="Times New Roman" w:eastAsia="Times New Roman" w:hAnsi="Times New Roman"/>
          <w:sz w:val="14"/>
          <w:szCs w:val="14"/>
          <w:color w:val="auto"/>
        </w:rPr>
        <w:t>Senior Notes DD, 5.70% fixed-rate, due February 2042</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750</w:t>
      </w:r>
    </w:p>
    <w:p>
      <w:pPr>
        <w:spacing w:after="0"/>
        <w:rPr>
          <w:sz w:val="20"/>
          <w:szCs w:val="20"/>
          <w:color w:val="auto"/>
        </w:rPr>
      </w:pPr>
      <w:r>
        <w:rPr>
          <w:rFonts w:ascii="Times New Roman" w:cs="Times New Roman" w:eastAsia="Times New Roman" w:hAnsi="Times New Roman"/>
          <w:sz w:val="14"/>
          <w:szCs w:val="14"/>
          <w:color w:val="auto"/>
        </w:rPr>
        <w:t>Senior Notes EE, 4.85% fixed-rate, due August 2042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8">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1,100</w:t>
      </w:r>
    </w:p>
    <w:p>
      <w:pPr>
        <w:spacing w:after="0"/>
        <w:rPr>
          <w:sz w:val="20"/>
          <w:szCs w:val="20"/>
          <w:color w:val="auto"/>
        </w:rPr>
      </w:pPr>
      <w:r>
        <w:rPr>
          <w:rFonts w:ascii="Times New Roman" w:cs="Times New Roman" w:eastAsia="Times New Roman" w:hAnsi="Times New Roman"/>
          <w:sz w:val="14"/>
          <w:szCs w:val="14"/>
          <w:color w:val="auto"/>
        </w:rPr>
        <w:t>Senior Notes GG, 4.45% fixed-rate, due February 2043</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1,400</w:t>
      </w:r>
    </w:p>
    <w:p>
      <w:pPr>
        <w:spacing w:after="0"/>
        <w:rPr>
          <w:sz w:val="20"/>
          <w:szCs w:val="20"/>
          <w:color w:val="auto"/>
        </w:rPr>
      </w:pPr>
      <w:r>
        <w:rPr>
          <w:rFonts w:ascii="Times New Roman" w:cs="Times New Roman" w:eastAsia="Times New Roman" w:hAnsi="Times New Roman"/>
          <w:sz w:val="14"/>
          <w:szCs w:val="14"/>
          <w:color w:val="auto"/>
        </w:rPr>
        <w:t>Senior Notes II, 4.85% fixed-rate, due March 2044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9">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1,150</w:t>
      </w:r>
    </w:p>
    <w:p>
      <w:pPr>
        <w:spacing w:after="0"/>
        <w:rPr>
          <w:sz w:val="20"/>
          <w:szCs w:val="20"/>
          <w:color w:val="auto"/>
        </w:rPr>
      </w:pPr>
      <w:r>
        <w:rPr>
          <w:rFonts w:ascii="Times New Roman" w:cs="Times New Roman" w:eastAsia="Times New Roman" w:hAnsi="Times New Roman"/>
          <w:sz w:val="14"/>
          <w:szCs w:val="14"/>
          <w:color w:val="auto"/>
        </w:rPr>
        <w:t>Senior Notes KK, 5.10% fixed-rate, due February 2045</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975</w:t>
      </w:r>
    </w:p>
    <w:p>
      <w:pPr>
        <w:spacing w:after="0"/>
        <w:rPr>
          <w:sz w:val="20"/>
          <w:szCs w:val="20"/>
          <w:color w:val="auto"/>
        </w:rPr>
      </w:pPr>
      <w:r>
        <w:rPr>
          <w:rFonts w:ascii="Times New Roman" w:cs="Times New Roman" w:eastAsia="Times New Roman" w:hAnsi="Times New Roman"/>
          <w:sz w:val="14"/>
          <w:szCs w:val="14"/>
          <w:color w:val="auto"/>
        </w:rPr>
        <w:t>Senior Notes QQ, 4.90% fixed-rate, due May 2046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0">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1,250</w:t>
      </w:r>
    </w:p>
    <w:p>
      <w:pPr>
        <w:spacing w:after="0"/>
        <w:rPr>
          <w:sz w:val="20"/>
          <w:szCs w:val="20"/>
          <w:color w:val="auto"/>
        </w:rPr>
      </w:pPr>
      <w:r>
        <w:rPr>
          <w:rFonts w:ascii="Times New Roman" w:cs="Times New Roman" w:eastAsia="Times New Roman" w:hAnsi="Times New Roman"/>
          <w:sz w:val="14"/>
          <w:szCs w:val="14"/>
          <w:color w:val="auto"/>
        </w:rPr>
        <w:t>Senior Notes UU, 4.25% fixed-rate, due February 2048</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1,250</w:t>
      </w:r>
    </w:p>
    <w:p>
      <w:pPr>
        <w:spacing w:after="0"/>
        <w:rPr>
          <w:sz w:val="20"/>
          <w:szCs w:val="20"/>
          <w:color w:val="auto"/>
        </w:rPr>
      </w:pPr>
      <w:r>
        <w:rPr>
          <w:rFonts w:ascii="Times New Roman" w:cs="Times New Roman" w:eastAsia="Times New Roman" w:hAnsi="Times New Roman"/>
          <w:sz w:val="14"/>
          <w:szCs w:val="14"/>
          <w:color w:val="auto"/>
        </w:rPr>
        <w:t>Senior Notes XX, 4.80% fixed-rate, due February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21">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1,250</w:t>
      </w:r>
    </w:p>
    <w:p>
      <w:pPr>
        <w:spacing w:after="0"/>
        <w:rPr>
          <w:sz w:val="20"/>
          <w:szCs w:val="20"/>
          <w:color w:val="auto"/>
        </w:rPr>
      </w:pPr>
      <w:r>
        <w:rPr>
          <w:rFonts w:ascii="Times New Roman" w:cs="Times New Roman" w:eastAsia="Times New Roman" w:hAnsi="Times New Roman"/>
          <w:sz w:val="14"/>
          <w:szCs w:val="14"/>
          <w:color w:val="auto"/>
        </w:rPr>
        <w:t>Senior Notes ZZ, 4.20% fixed-rate, due January 2050</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BBB, 3.70% fixed-rate, due January 2051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22">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DDD, 3.20% fixed-rate, due February 2052</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EEE, 3.30% fixed-rate, due February 2053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3">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400</w:t>
      </w:r>
    </w:p>
    <w:p>
      <w:pPr>
        <w:spacing w:after="0"/>
        <w:rPr>
          <w:sz w:val="20"/>
          <w:szCs w:val="20"/>
          <w:color w:val="auto"/>
        </w:rPr>
      </w:pPr>
      <w:r>
        <w:rPr>
          <w:rFonts w:ascii="Times New Roman" w:cs="Times New Roman" w:eastAsia="Times New Roman" w:hAnsi="Times New Roman"/>
          <w:sz w:val="14"/>
          <w:szCs w:val="14"/>
          <w:color w:val="auto"/>
        </w:rPr>
        <w:t>Senior Notes NN, 4.95% fixed-rate, due October 2054</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1,400</w:t>
      </w:r>
    </w:p>
    <w:p>
      <w:pPr>
        <w:spacing w:after="0"/>
        <w:rPr>
          <w:sz w:val="20"/>
          <w:szCs w:val="20"/>
          <w:color w:val="auto"/>
        </w:rPr>
      </w:pPr>
      <w:r>
        <w:rPr>
          <w:rFonts w:ascii="Times New Roman" w:cs="Times New Roman" w:eastAsia="Times New Roman" w:hAnsi="Times New Roman"/>
          <w:sz w:val="14"/>
          <w:szCs w:val="14"/>
          <w:color w:val="auto"/>
        </w:rPr>
        <w:t>Senior Notes KKK, 5.55% fixed-rate, due February 2055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4">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Senior Notes CCC, 3.95% fixed-rate, due January 2060</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232</w:t>
      </w:r>
    </w:p>
    <w:p>
      <w:pPr>
        <w:spacing w:after="0"/>
        <w:rPr>
          <w:sz w:val="20"/>
          <w:szCs w:val="20"/>
          <w:color w:val="auto"/>
        </w:rPr>
      </w:pPr>
      <w:r>
        <w:rPr>
          <w:rFonts w:ascii="Times New Roman" w:cs="Times New Roman" w:eastAsia="Times New Roman" w:hAnsi="Times New Roman"/>
          <w:sz w:val="14"/>
          <w:szCs w:val="14"/>
          <w:color w:val="auto"/>
        </w:rPr>
        <w:t>Junior Subordinated Notes C, variable-rate, due June 2067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5">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350</w:t>
      </w:r>
    </w:p>
    <w:p>
      <w:pPr>
        <w:spacing w:after="0"/>
        <w:rPr>
          <w:sz w:val="20"/>
          <w:szCs w:val="20"/>
          <w:color w:val="auto"/>
        </w:rPr>
      </w:pPr>
      <w:r>
        <w:rPr>
          <w:rFonts w:ascii="Times New Roman" w:cs="Times New Roman" w:eastAsia="Times New Roman" w:hAnsi="Times New Roman"/>
          <w:sz w:val="14"/>
          <w:szCs w:val="14"/>
          <w:color w:val="auto"/>
        </w:rPr>
        <w:t>Junior Subordinated Notes D, variable-rate, due August 2077</w:t>
      </w:r>
    </w:p>
    <w:p>
      <w:pPr>
        <w:spacing w:after="0" w:line="5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1,000</w:t>
      </w:r>
    </w:p>
    <w:p>
      <w:pPr>
        <w:spacing w:after="0"/>
        <w:rPr>
          <w:sz w:val="20"/>
          <w:szCs w:val="20"/>
          <w:color w:val="auto"/>
        </w:rPr>
      </w:pPr>
      <w:r>
        <w:rPr>
          <w:rFonts w:ascii="Times New Roman" w:cs="Times New Roman" w:eastAsia="Times New Roman" w:hAnsi="Times New Roman"/>
          <w:sz w:val="14"/>
          <w:szCs w:val="14"/>
          <w:color w:val="auto"/>
        </w:rPr>
        <w:t>Junior Subordinated Notes E, fixed/variable-rate, due August 2077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30480</wp:posOffset>
            </wp:positionV>
            <wp:extent cx="5829300" cy="240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6">
                      <a:extLst>
                        <a:ext uri="{28A0092B-C50C-407E-A947-70E740481C1C}"/>
                      </a:extLst>
                    </a:blip>
                    <a:srcRect/>
                    <a:stretch>
                      <a:fillRect/>
                    </a:stretch>
                  </pic:blipFill>
                  <pic:spPr bwMode="auto">
                    <a:xfrm>
                      <a:off x="0" y="0"/>
                      <a:ext cx="5829300" cy="240030"/>
                    </a:xfrm>
                    <a:prstGeom prst="rect">
                      <a:avLst/>
                    </a:prstGeom>
                    <a:noFill/>
                  </pic:spPr>
                </pic:pic>
              </a:graphicData>
            </a:graphic>
          </wp:anchor>
        </w:drawing>
      </w:r>
    </w:p>
    <w:p>
      <w:pPr>
        <w:spacing w:after="0" w:line="36" w:lineRule="exact"/>
        <w:rPr>
          <w:sz w:val="20"/>
          <w:szCs w:val="20"/>
          <w:color w:val="auto"/>
        </w:rPr>
      </w:pPr>
    </w:p>
    <w:p>
      <w:pPr>
        <w:jc w:val="right"/>
        <w:ind w:right="439"/>
        <w:spacing w:after="0"/>
        <w:rPr>
          <w:sz w:val="20"/>
          <w:szCs w:val="20"/>
          <w:color w:val="auto"/>
        </w:rPr>
      </w:pPr>
      <w:r>
        <w:rPr>
          <w:rFonts w:ascii="Times New Roman" w:cs="Times New Roman" w:eastAsia="Times New Roman" w:hAnsi="Times New Roman"/>
          <w:sz w:val="14"/>
          <w:szCs w:val="14"/>
          <w:color w:val="auto"/>
        </w:rPr>
        <w:t>700</w:t>
      </w:r>
    </w:p>
    <w:p>
      <w:pPr>
        <w:spacing w:after="0"/>
        <w:rPr>
          <w:sz w:val="20"/>
          <w:szCs w:val="20"/>
          <w:color w:val="auto"/>
        </w:rPr>
      </w:pPr>
      <w:r>
        <w:rPr>
          <w:rFonts w:ascii="Times New Roman" w:cs="Times New Roman" w:eastAsia="Times New Roman" w:hAnsi="Times New Roman"/>
          <w:sz w:val="14"/>
          <w:szCs w:val="14"/>
          <w:color w:val="auto"/>
        </w:rPr>
        <w:t>Junior Subordinated Notes F, fixed/variable-rate, due February 2078</w:t>
      </w:r>
    </w:p>
    <w:p>
      <w:pPr>
        <w:sectPr>
          <w:pgSz w:w="11900" w:h="16838" w:orient="portrait"/>
          <w:cols w:equalWidth="0" w:num="1">
            <w:col w:w="9579"/>
          </w:cols>
          <w:pgMar w:left="880" w:top="182"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 James Teague, certify that:</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9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28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34290</wp:posOffset>
            </wp:positionV>
            <wp:extent cx="486029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7">
                      <a:extLst>
                        <a:ext uri="{28A0092B-C50C-407E-A947-70E740481C1C}"/>
                      </a:extLst>
                    </a:blip>
                    <a:srcRect/>
                    <a:stretch>
                      <a:fillRect/>
                    </a:stretch>
                  </pic:blipFill>
                  <pic:spPr bwMode="auto">
                    <a:xfrm>
                      <a:off x="0" y="0"/>
                      <a:ext cx="48602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James Teague</w:t>
      </w:r>
    </w:p>
    <w:p>
      <w:pPr>
        <w:spacing w:after="0" w:line="74" w:lineRule="exact"/>
        <w:rPr>
          <w:sz w:val="20"/>
          <w:szCs w:val="20"/>
          <w:color w:val="auto"/>
        </w:rPr>
      </w:pPr>
    </w:p>
    <w:p>
      <w:pPr>
        <w:sectPr>
          <w:pgSz w:w="11900" w:h="16838" w:orient="portrait"/>
          <w:cols w:equalWidth="0" w:num="2">
            <w:col w:w="4080" w:space="420"/>
            <w:col w:w="6740"/>
          </w:cols>
          <w:pgMar w:left="320" w:top="1143"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 Enterprise Products Partners L.P.</w:t>
      </w:r>
    </w:p>
    <w:p>
      <w:pPr>
        <w:sectPr>
          <w:pgSz w:w="11900" w:h="16838" w:orient="portrait"/>
          <w:cols w:equalWidth="0" w:num="2">
            <w:col w:w="3980" w:space="520"/>
            <w:col w:w="6740"/>
          </w:cols>
          <w:pgMar w:left="320" w:top="1143" w:right="339" w:bottom="1440" w:gutter="0" w:footer="0" w:header="0"/>
          <w:type w:val="continuous"/>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 Randall Fowler, certify that:</w:t>
      </w:r>
    </w:p>
    <w:p>
      <w:pPr>
        <w:spacing w:after="0" w:line="22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34290</wp:posOffset>
            </wp:positionV>
            <wp:extent cx="48602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8">
                      <a:extLst>
                        <a:ext uri="{28A0092B-C50C-407E-A947-70E740481C1C}"/>
                      </a:extLst>
                    </a:blip>
                    <a:srcRect/>
                    <a:stretch>
                      <a:fillRect/>
                    </a:stretch>
                  </pic:blipFill>
                  <pic:spPr bwMode="auto">
                    <a:xfrm>
                      <a:off x="0" y="0"/>
                      <a:ext cx="48602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 Randall Fowler</w:t>
      </w:r>
    </w:p>
    <w:p>
      <w:pPr>
        <w:spacing w:after="0" w:line="74" w:lineRule="exact"/>
        <w:rPr>
          <w:sz w:val="20"/>
          <w:szCs w:val="20"/>
          <w:color w:val="auto"/>
        </w:rPr>
      </w:pPr>
    </w:p>
    <w:p>
      <w:pPr>
        <w:sectPr>
          <w:pgSz w:w="11900" w:h="16838" w:orient="portrait"/>
          <w:cols w:equalWidth="0" w:num="2">
            <w:col w:w="4080" w:space="420"/>
            <w:col w:w="6740"/>
          </w:cols>
          <w:pgMar w:left="320" w:top="1143"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 Enterprise Products Partners L.P.</w:t>
      </w:r>
    </w:p>
    <w:p>
      <w:pPr>
        <w:sectPr>
          <w:pgSz w:w="11900" w:h="16838" w:orient="portrait"/>
          <w:cols w:equalWidth="0" w:num="2">
            <w:col w:w="3980" w:space="520"/>
            <w:col w:w="6740"/>
          </w:cols>
          <w:pgMar w:left="320" w:top="1143"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Daniel Boss, certify that:</w:t>
      </w:r>
    </w:p>
    <w:p>
      <w:pPr>
        <w:spacing w:after="0" w:line="225"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Enterprise Products Partners L.P;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7" w:lineRule="auto"/>
        <w:tabs>
          <w:tab w:leader="none" w:pos="12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50" w:lineRule="auto"/>
        <w:tabs>
          <w:tab w:leader="none" w:pos="12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hanging="320"/>
        <w:spacing w:after="0" w:line="250" w:lineRule="auto"/>
        <w:tabs>
          <w:tab w:leader="none" w:pos="12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00" w:hanging="320"/>
        <w:spacing w:after="0" w:line="255" w:lineRule="auto"/>
        <w:tabs>
          <w:tab w:leader="none" w:pos="12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61" w:lineRule="auto"/>
        <w:tabs>
          <w:tab w:leader="none" w:pos="129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hanging="320"/>
        <w:spacing w:after="0" w:line="260" w:lineRule="auto"/>
        <w:tabs>
          <w:tab w:leader="none" w:pos="1288"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R. Daniel Boss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34290</wp:posOffset>
            </wp:positionV>
            <wp:extent cx="46888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9">
                      <a:extLst>
                        <a:ext uri="{28A0092B-C50C-407E-A947-70E740481C1C}"/>
                      </a:extLst>
                    </a:blip>
                    <a:srcRect/>
                    <a:stretch>
                      <a:fillRect/>
                    </a:stretch>
                  </pic:blipFill>
                  <pic:spPr bwMode="auto">
                    <a:xfrm>
                      <a:off x="0" y="0"/>
                      <a:ext cx="468884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Daniel Boss</w:t>
      </w:r>
    </w:p>
    <w:p>
      <w:pPr>
        <w:spacing w:after="0" w:line="74" w:lineRule="exact"/>
        <w:rPr>
          <w:sz w:val="20"/>
          <w:szCs w:val="20"/>
          <w:color w:val="auto"/>
        </w:rPr>
      </w:pPr>
    </w:p>
    <w:p>
      <w:pPr>
        <w:sectPr>
          <w:pgSz w:w="11900" w:h="16838" w:orient="portrait"/>
          <w:cols w:equalWidth="0" w:num="2">
            <w:col w:w="4360" w:space="360"/>
            <w:col w:w="6520"/>
          </w:cols>
          <w:pgMar w:left="320" w:top="1143" w:right="339" w:bottom="1440" w:gutter="0" w:footer="0" w:header="0"/>
          <w:type w:val="continuous"/>
        </w:sectPr>
      </w:pPr>
    </w:p>
    <w:p>
      <w:pPr>
        <w:ind w:left="388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20"/>
        <w:spacing w:after="0" w:line="282" w:lineRule="auto"/>
        <w:rPr>
          <w:sz w:val="20"/>
          <w:szCs w:val="20"/>
          <w:color w:val="auto"/>
        </w:rPr>
      </w:pPr>
      <w:r>
        <w:rPr>
          <w:rFonts w:ascii="Times New Roman" w:cs="Times New Roman" w:eastAsia="Times New Roman" w:hAnsi="Times New Roman"/>
          <w:sz w:val="18"/>
          <w:szCs w:val="18"/>
          <w:color w:val="auto"/>
        </w:rPr>
        <w:t>Executive Vice President and Chief Financial Officer of Enterprise Products Holdings LLC, the General Partner of Enterprise Products Partners L.P.</w:t>
      </w:r>
    </w:p>
    <w:p>
      <w:pPr>
        <w:sectPr>
          <w:pgSz w:w="11900" w:h="16838" w:orient="portrait"/>
          <w:cols w:equalWidth="0" w:num="2">
            <w:col w:w="4260" w:space="460"/>
            <w:col w:w="6520"/>
          </w:cols>
          <w:pgMar w:left="320" w:top="1143"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3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A. JAMES TEAGUE, CO-CHIEF EXECUTIVE OFFICER OF ENTERPRISE PRODUCTS HOLDINGS LLC, THE GENERAL PARTNER OF ENTERPRISE PRODUCTS PARTNERS L.P.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of Enterprise Products Partners L.P. (the “Registrant”) on Form 10-Q for the quarterly period ended March 31, 2026 as filed with the Securities and Exchange Commission on the date hereof (the “Report”), I, A. James Teague, Co-Chief Executive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480" w:hanging="310"/>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170"/>
        <w:spacing w:after="0" w:line="532" w:lineRule="auto"/>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7, 2026</w:t>
      </w:r>
    </w:p>
    <w:p>
      <w:pPr>
        <w:ind w:left="3960"/>
        <w:spacing w:after="0"/>
        <w:rPr>
          <w:sz w:val="20"/>
          <w:szCs w:val="20"/>
          <w:color w:val="auto"/>
        </w:rPr>
      </w:pPr>
      <w:r>
        <w:rPr>
          <w:rFonts w:ascii="Times New Roman" w:cs="Times New Roman" w:eastAsia="Times New Roman" w:hAnsi="Times New Roman"/>
          <w:sz w:val="18"/>
          <w:szCs w:val="18"/>
          <w:color w:val="auto"/>
        </w:rPr>
        <w:t>/s/ A. James Teague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34290</wp:posOffset>
            </wp:positionV>
            <wp:extent cx="486029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30">
                      <a:extLst>
                        <a:ext uri="{28A0092B-C50C-407E-A947-70E740481C1C}"/>
                      </a:extLst>
                    </a:blip>
                    <a:srcRect/>
                    <a:stretch>
                      <a:fillRect/>
                    </a:stretch>
                  </pic:blipFill>
                  <pic:spPr bwMode="auto">
                    <a:xfrm>
                      <a:off x="0" y="0"/>
                      <a:ext cx="48602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James Teague</w:t>
      </w:r>
    </w:p>
    <w:p>
      <w:pPr>
        <w:spacing w:after="0" w:line="74" w:lineRule="exact"/>
        <w:rPr>
          <w:sz w:val="20"/>
          <w:szCs w:val="20"/>
          <w:color w:val="auto"/>
        </w:rPr>
      </w:pPr>
    </w:p>
    <w:p>
      <w:pPr>
        <w:sectPr>
          <w:pgSz w:w="11900" w:h="16838" w:orient="portrait"/>
          <w:cols w:equalWidth="0" w:num="2">
            <w:col w:w="4080" w:space="420"/>
            <w:col w:w="6740"/>
          </w:cols>
          <w:pgMar w:left="320" w:top="1143"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 Enterprise Products Partners L.P.</w:t>
      </w:r>
    </w:p>
    <w:p>
      <w:pPr>
        <w:sectPr>
          <w:pgSz w:w="11900" w:h="16838" w:orient="portrait"/>
          <w:cols w:equalWidth="0" w:num="2">
            <w:col w:w="3980" w:space="520"/>
            <w:col w:w="6740"/>
          </w:cols>
          <w:pgMar w:left="320" w:top="1143" w:right="3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W. RANDALL FOWLER, CO-CHIEF EXECUTIVE OFFICER OF ENTERPRISE PRODUCTS HOLDINGS LLC, THE GENERAL PARTNER OF ENTERPRISE PRODUCTS PARTNERS L.P.</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of Enterprise Products Partners L.P. (the “Registrant”) on Form 10-Q for the quarterly period ended March 31, 2026 as filed with the Securities and Exchange Commission on the date hereof (the “Report”), I, W. Randall Fowler, Co-Chief Executive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640" w:hanging="308"/>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00" w:firstLine="332"/>
        <w:spacing w:after="0" w:line="532" w:lineRule="auto"/>
        <w:tabs>
          <w:tab w:leader="none" w:pos="6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7, 2026</w:t>
      </w:r>
    </w:p>
    <w:p>
      <w:pPr>
        <w:ind w:left="3920"/>
        <w:spacing w:after="0"/>
        <w:rPr>
          <w:sz w:val="20"/>
          <w:szCs w:val="20"/>
          <w:color w:val="auto"/>
        </w:rPr>
      </w:pPr>
      <w:r>
        <w:rPr>
          <w:rFonts w:ascii="Times New Roman" w:cs="Times New Roman" w:eastAsia="Times New Roman" w:hAnsi="Times New Roman"/>
          <w:sz w:val="18"/>
          <w:szCs w:val="18"/>
          <w:color w:val="auto"/>
        </w:rPr>
        <w:t>/s/ W. Randall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34290</wp:posOffset>
            </wp:positionV>
            <wp:extent cx="486029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31">
                      <a:extLst>
                        <a:ext uri="{28A0092B-C50C-407E-A947-70E740481C1C}"/>
                      </a:extLst>
                    </a:blip>
                    <a:srcRect/>
                    <a:stretch>
                      <a:fillRect/>
                    </a:stretch>
                  </pic:blipFill>
                  <pic:spPr bwMode="auto">
                    <a:xfrm>
                      <a:off x="0" y="0"/>
                      <a:ext cx="486029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 Randall Fowler</w:t>
      </w:r>
    </w:p>
    <w:p>
      <w:pPr>
        <w:spacing w:after="0" w:line="74" w:lineRule="exact"/>
        <w:rPr>
          <w:sz w:val="20"/>
          <w:szCs w:val="20"/>
          <w:color w:val="auto"/>
        </w:rPr>
      </w:pPr>
    </w:p>
    <w:p>
      <w:pPr>
        <w:sectPr>
          <w:pgSz w:w="11900" w:h="16838" w:orient="portrait"/>
          <w:cols w:equalWidth="0" w:num="2">
            <w:col w:w="4080" w:space="420"/>
            <w:col w:w="6740"/>
          </w:cols>
          <w:pgMar w:left="320" w:top="1143" w:right="339" w:bottom="1440" w:gutter="0" w:footer="0" w:header="0"/>
          <w:type w:val="continuous"/>
        </w:sectPr>
      </w:pPr>
    </w:p>
    <w:p>
      <w:pPr>
        <w:ind w:left="36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Co-Chief Executive Officer of Enterprise Products Holdings LLC, the General Partner of Enterprise Products Partners L.P.</w:t>
      </w:r>
    </w:p>
    <w:p>
      <w:pPr>
        <w:sectPr>
          <w:pgSz w:w="11900" w:h="16838" w:orient="portrait"/>
          <w:cols w:equalWidth="0" w:num="2">
            <w:col w:w="3980" w:space="520"/>
            <w:col w:w="6740"/>
          </w:cols>
          <w:pgMar w:left="320" w:top="1143" w:right="339" w:bottom="1440" w:gutter="0" w:footer="0" w:header="0"/>
          <w:type w:val="continuous"/>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SECTION 906 CERTIFICATION</w:t>
      </w:r>
    </w:p>
    <w:p>
      <w:pPr>
        <w:spacing w:after="0" w:line="225" w:lineRule="exact"/>
        <w:rPr>
          <w:sz w:val="20"/>
          <w:szCs w:val="20"/>
          <w:color w:val="auto"/>
        </w:rPr>
      </w:pPr>
    </w:p>
    <w:p>
      <w:pPr>
        <w:jc w:val="center"/>
        <w:ind w:left="340" w:right="2360"/>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R. DANIEL BOSS, EXECUTIVE VICE PRESIDENT AND CHIEF FINANCIAL OFFICER OF ENTERPRISE PRODUCTS HOLDINGS LLC, THE GENERAL PARTNER OF ENTERPRISE PRODUCTS PARTNERS L.P.</w:t>
      </w:r>
    </w:p>
    <w:p>
      <w:pPr>
        <w:spacing w:after="0" w:line="3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this quarterly report of Enterprise Products Partners L.P. (the “Registrant”) on Form 10-Q for the quarterly period ended March 31, 2026 as filed with the Securities and Exchange Commission on the date hereof (the “Report”), I, R. Daniel Boss, Executive Vice President and Chief Financial Officer of Enterprise Products Holdings LLC, the General Partner of the Registrant, certify, pursuant to 18 U.S.C. § 1350, as adopted pursuant to § 906 of the Sarbanes-Oxley Act of 2002, that:</w:t>
      </w:r>
    </w:p>
    <w:p>
      <w:pPr>
        <w:spacing w:after="0" w:line="180" w:lineRule="exact"/>
        <w:rPr>
          <w:sz w:val="20"/>
          <w:szCs w:val="20"/>
          <w:color w:val="auto"/>
        </w:rPr>
      </w:pPr>
    </w:p>
    <w:p>
      <w:pPr>
        <w:ind w:left="480" w:hanging="310"/>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60" w:firstLine="170"/>
        <w:spacing w:after="0" w:line="532" w:lineRule="auto"/>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 Date: May 7, 2026</w:t>
      </w:r>
    </w:p>
    <w:p>
      <w:pPr>
        <w:ind w:left="4160"/>
        <w:spacing w:after="0"/>
        <w:rPr>
          <w:sz w:val="20"/>
          <w:szCs w:val="20"/>
          <w:color w:val="auto"/>
        </w:rPr>
      </w:pPr>
      <w:r>
        <w:rPr>
          <w:rFonts w:ascii="Times New Roman" w:cs="Times New Roman" w:eastAsia="Times New Roman" w:hAnsi="Times New Roman"/>
          <w:sz w:val="18"/>
          <w:szCs w:val="18"/>
          <w:color w:val="auto"/>
        </w:rPr>
        <w:t>/s/ R. Daniel Boss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34290</wp:posOffset>
            </wp:positionV>
            <wp:extent cx="468884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2">
                      <a:extLst>
                        <a:ext uri="{28A0092B-C50C-407E-A947-70E740481C1C}"/>
                      </a:extLst>
                    </a:blip>
                    <a:srcRect/>
                    <a:stretch>
                      <a:fillRect/>
                    </a:stretch>
                  </pic:blipFill>
                  <pic:spPr bwMode="auto">
                    <a:xfrm>
                      <a:off x="0" y="0"/>
                      <a:ext cx="4688840" cy="171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p>
      <w:pPr>
        <w:spacing w:after="0" w:line="90"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 Daniel Boss</w:t>
      </w:r>
    </w:p>
    <w:p>
      <w:pPr>
        <w:spacing w:after="0" w:line="74" w:lineRule="exact"/>
        <w:rPr>
          <w:sz w:val="20"/>
          <w:szCs w:val="20"/>
          <w:color w:val="auto"/>
        </w:rPr>
      </w:pPr>
    </w:p>
    <w:p>
      <w:pPr>
        <w:sectPr>
          <w:pgSz w:w="11900" w:h="16838" w:orient="portrait"/>
          <w:cols w:equalWidth="0" w:num="2">
            <w:col w:w="4320" w:space="380"/>
            <w:col w:w="6540"/>
          </w:cols>
          <w:pgMar w:left="320" w:top="1143" w:right="339" w:bottom="1440" w:gutter="0" w:footer="0" w:header="0"/>
          <w:type w:val="continuous"/>
        </w:sectPr>
      </w:pPr>
    </w:p>
    <w:p>
      <w:pPr>
        <w:ind w:left="384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Executive Vice President and Chief Financial Officer of Enterprise Products Holdings LLC, the General Partner of Enterprise Products Partners L.P.</w:t>
      </w:r>
    </w:p>
    <w:sectPr>
      <w:pgSz w:w="11900" w:h="16838" w:orient="portrait"/>
      <w:cols w:equalWidth="0" w:num="2">
        <w:col w:w="4220" w:space="480"/>
        <w:col w:w="6540"/>
      </w:cols>
      <w:pgMar w:left="320" w:top="1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428"/>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1)"/>
      <w:numFmt w:val="decimal"/>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lvl w:ilvl="1">
      <w:lvlJc w:val="left"/>
      <w:lvlText w:val="•"/>
      <w:numFmt w:val="bullet"/>
      <w:start w:val="1"/>
    </w:lvl>
  </w:abstractNum>
  <w:abstractNum w:abstractNumId="15">
    <w:nsid w:val="440BADFC"/>
    <w:multiLevelType w:val="hybridMultilevel"/>
    <w:lvl w:ilvl="0">
      <w:lvlJc w:val="left"/>
      <w:lvlText w:val="(%1)"/>
      <w:numFmt w:val="decimal"/>
      <w:start w:val="1"/>
    </w:lvl>
    <w:lvl w:ilvl="1">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2"/>
    </w:lvl>
  </w:abstractNum>
  <w:abstractNum w:abstractNumId="30">
    <w:nsid w:val="2A487CB0"/>
    <w:multiLevelType w:val="hybridMultilevel"/>
    <w:lvl w:ilvl="0">
      <w:lvlJc w:val="left"/>
      <w:lvlText w:val="(%1)"/>
      <w:numFmt w:val="decimal"/>
      <w:start w:val="24"/>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1)"/>
      <w:numFmt w:val="lowerRoman"/>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1"/>
    </w:lvl>
    <w:lvl w:ilvl="1">
      <w:lvlJc w:val="left"/>
      <w:lvlText w:val="%2)"/>
      <w:numFmt w:val="lowerLetter"/>
      <w:start w:val="1"/>
    </w:lvl>
  </w:abstractNum>
  <w:abstractNum w:abstractNumId="50">
    <w:nsid w:val="70C6A529"/>
    <w:multiLevelType w:val="hybridMultilevel"/>
    <w:lvl w:ilvl="0">
      <w:lvlJc w:val="left"/>
      <w:lvlText w:val="%1."/>
      <w:numFmt w:val="decimal"/>
      <w:start w:val="1"/>
    </w:lvl>
    <w:lvl w:ilvl="1">
      <w:lvlJc w:val="left"/>
      <w:lvlText w:val="%2)"/>
      <w:numFmt w:val="lowerLetter"/>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82" Type="http://schemas.openxmlformats.org/officeDocument/2006/relationships/image" Target="media/image130.png"/><Relationship Id="rId196" Type="http://schemas.openxmlformats.org/officeDocument/2006/relationships/image" Target="media/image131.png"/><Relationship Id="rId197" Type="http://schemas.openxmlformats.org/officeDocument/2006/relationships/image" Target="media/image132.png"/><Relationship Id="rId198" Type="http://schemas.openxmlformats.org/officeDocument/2006/relationships/image" Target="media/image133.png"/><Relationship Id="rId199" Type="http://schemas.openxmlformats.org/officeDocument/2006/relationships/image" Target="media/image134.png"/><Relationship Id="rId200" Type="http://schemas.openxmlformats.org/officeDocument/2006/relationships/image" Target="media/image135.png"/><Relationship Id="rId201" Type="http://schemas.openxmlformats.org/officeDocument/2006/relationships/image" Target="media/image136.png"/><Relationship Id="rId207" Type="http://schemas.openxmlformats.org/officeDocument/2006/relationships/image" Target="media/image137.png"/><Relationship Id="rId208" Type="http://schemas.openxmlformats.org/officeDocument/2006/relationships/image" Target="media/image138.png"/><Relationship Id="rId209" Type="http://schemas.openxmlformats.org/officeDocument/2006/relationships/image" Target="media/image139.png"/><Relationship Id="rId210"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217" Type="http://schemas.openxmlformats.org/officeDocument/2006/relationships/image" Target="media/image147.png"/><Relationship Id="rId218" Type="http://schemas.openxmlformats.org/officeDocument/2006/relationships/image" Target="media/image148.png"/><Relationship Id="rId219" Type="http://schemas.openxmlformats.org/officeDocument/2006/relationships/image" Target="media/image149.png"/><Relationship Id="rId220" Type="http://schemas.openxmlformats.org/officeDocument/2006/relationships/image" Target="media/image150.png"/><Relationship Id="rId221" Type="http://schemas.openxmlformats.org/officeDocument/2006/relationships/image" Target="media/image151.png"/><Relationship Id="rId222" Type="http://schemas.openxmlformats.org/officeDocument/2006/relationships/image" Target="media/image152.png"/><Relationship Id="rId223" Type="http://schemas.openxmlformats.org/officeDocument/2006/relationships/image" Target="media/image153.png"/><Relationship Id="rId224" Type="http://schemas.openxmlformats.org/officeDocument/2006/relationships/image" Target="media/image154.png"/><Relationship Id="rId225" Type="http://schemas.openxmlformats.org/officeDocument/2006/relationships/image" Target="media/image155.png"/><Relationship Id="rId226" Type="http://schemas.openxmlformats.org/officeDocument/2006/relationships/image" Target="media/image156.png"/><Relationship Id="rId227" Type="http://schemas.openxmlformats.org/officeDocument/2006/relationships/image" Target="media/image157.png"/><Relationship Id="rId228" Type="http://schemas.openxmlformats.org/officeDocument/2006/relationships/image" Target="media/image158.png"/><Relationship Id="rId229" Type="http://schemas.openxmlformats.org/officeDocument/2006/relationships/image" Target="media/image159.png"/><Relationship Id="rId230" Type="http://schemas.openxmlformats.org/officeDocument/2006/relationships/image" Target="media/image160.png"/><Relationship Id="rId231" Type="http://schemas.openxmlformats.org/officeDocument/2006/relationships/image" Target="media/image161.png"/><Relationship Id="rId232" Type="http://schemas.openxmlformats.org/officeDocument/2006/relationships/image" Target="media/image162.png"/><Relationship Id="rId133" Type="http://schemas.openxmlformats.org/officeDocument/2006/relationships/hyperlink" Target="https://www.sec.gov/Archives/edgar/data/1061219/000095012903006098/h11257exv2w1.txt" TargetMode="External"/><Relationship Id="rId134" Type="http://schemas.openxmlformats.org/officeDocument/2006/relationships/hyperlink" Target="https://www.sec.gov/Archives/edgar/data/1061219/000106121904000194/exhibit2-1.htm" TargetMode="External"/><Relationship Id="rId135" Type="http://schemas.openxmlformats.org/officeDocument/2006/relationships/hyperlink" Target="https://www.sec.gov/Archives/edgar/data/1061219/000095012903006098/h11257exv2w2.txt" TargetMode="External"/><Relationship Id="rId136" Type="http://schemas.openxmlformats.org/officeDocument/2006/relationships/hyperlink" Target="https://www.sec.gov/Archives/edgar/data/1061219/000106121904000053/exhibit2-1.htm" TargetMode="External"/><Relationship Id="rId137" Type="http://schemas.openxmlformats.org/officeDocument/2006/relationships/hyperlink" Target="https://www.sec.gov/Archives/edgar/data/1061219/000095012903006098/h11257exv2w4.txt" TargetMode="External"/><Relationship Id="rId138" Type="http://schemas.openxmlformats.org/officeDocument/2006/relationships/hyperlink" Target="https://www.sec.gov/Archives/edgar/data/1061219/000095012309018753/h67302exv2w1.htm" TargetMode="External"/><Relationship Id="rId139" Type="http://schemas.openxmlformats.org/officeDocument/2006/relationships/hyperlink" Target="https://www.sec.gov/Archives/edgar/data/1061219/000095012309018753/h67302exv2w2.htm" TargetMode="External"/><Relationship Id="rId140" Type="http://schemas.openxmlformats.org/officeDocument/2006/relationships/hyperlink" Target="https://www.sec.gov/Archives/edgar/data/1061219/000095012310084271/h75957exv2w1.htm" TargetMode="External"/><Relationship Id="rId141" Type="http://schemas.openxmlformats.org/officeDocument/2006/relationships/hyperlink" Target="https://www.sec.gov/Archives/edgar/data/1061219/000095012310084271/h75957exv2w2.htm" TargetMode="External"/><Relationship Id="rId142" Type="http://schemas.openxmlformats.org/officeDocument/2006/relationships/hyperlink" Target="https://www.sec.gov/Archives/edgar/data/1061219/000095012310090755/h76576exv2w1.htm" TargetMode="External"/><Relationship Id="rId145" Type="http://schemas.openxmlformats.org/officeDocument/2006/relationships/hyperlink" Target="https://www.sec.gov/Archives/edgar/data/1061219/000095012311042253/h81801exv2w1.htm" TargetMode="External"/><Relationship Id="rId146" Type="http://schemas.openxmlformats.org/officeDocument/2006/relationships/hyperlink" Target="https://www.sec.gov/Archives/edgar/data/1061219/000119312514360884/d798407dex21.htm" TargetMode="External"/><Relationship Id="rId147" Type="http://schemas.openxmlformats.org/officeDocument/2006/relationships/hyperlink" Target="https://www.sec.gov/Archives/edgar/data/1061219/000119312514409528/d820273dex21.htm" TargetMode="External"/><Relationship Id="rId148" Type="http://schemas.openxmlformats.org/officeDocument/2006/relationships/hyperlink" Target="https://www.sec.gov/Archives/edgar/data/1061219/000106121918000020/exhibit2_2.htm" TargetMode="External"/><Relationship Id="rId149" Type="http://schemas.openxmlformats.org/officeDocument/2006/relationships/hyperlink" Target="https://www.sec.gov/Archives/edgar/data/1061219/000106121907000043/exhibit3_6.htm" TargetMode="External"/><Relationship Id="rId150" Type="http://schemas.openxmlformats.org/officeDocument/2006/relationships/hyperlink" Target="https://www.sec.gov/Archives/edgar/data/1061219/000106121910000072/exhibit3_6.htm" TargetMode="External"/><Relationship Id="rId151" Type="http://schemas.openxmlformats.org/officeDocument/2006/relationships/hyperlink" Target="https://www.sec.gov/Archives/edgar/data/1061219/000119312520261373/d170716dex31.htm" TargetMode="External"/><Relationship Id="rId152" Type="http://schemas.openxmlformats.org/officeDocument/2006/relationships/hyperlink" Target="https://www.sec.gov/Archives/edgar/data/1324592/000119312505146603/dex33.htm" TargetMode="External"/><Relationship Id="rId153" Type="http://schemas.openxmlformats.org/officeDocument/2006/relationships/hyperlink" Target="https://www.sec.gov/Archives/edgar/data/1061219/000106121910000072/exhibit3_5.htm" TargetMode="External"/><Relationship Id="rId154" Type="http://schemas.openxmlformats.org/officeDocument/2006/relationships/hyperlink" Target="https://www.sec.gov/Archives/edgar/data/1061219/000106121922000020/exhibit3_9.htm" TargetMode="External"/><Relationship Id="rId155" Type="http://schemas.openxmlformats.org/officeDocument/2006/relationships/hyperlink" Target="https://www.sec.gov/Archives/edgar/data/1061219/000106121907000037/exhibit3_3.htm" TargetMode="External"/><Relationship Id="rId156" Type="http://schemas.openxmlformats.org/officeDocument/2006/relationships/hyperlink" Target="https://www.sec.gov/Archives/edgar/data/1061219/000095012904010113/h19587exv3w5.htm" TargetMode="External"/><Relationship Id="rId157" Type="http://schemas.openxmlformats.org/officeDocument/2006/relationships/hyperlink" Target="https://www.sec.gov/Archives/edgar/data/1061219/000095012904010113/h19587exv3w6.htm" TargetMode="External"/><Relationship Id="rId158" Type="http://schemas.openxmlformats.org/officeDocument/2006/relationships/hyperlink" Target="https://www.sec.gov/Archives/edgar/data/1061219/000106121920000014/exhibit4_2.htm" TargetMode="External"/><Relationship Id="rId159" Type="http://schemas.openxmlformats.org/officeDocument/2006/relationships/hyperlink" Target="https://www.sec.gov/Archives/edgar/data/1061219/000089924300000467/0000899243-00-000467.txt" TargetMode="External"/><Relationship Id="rId160" Type="http://schemas.openxmlformats.org/officeDocument/2006/relationships/hyperlink" Target="https://www.sec.gov/Archives/edgar/data/1061219/000095012903001725/h04315exv4w3.txt" TargetMode="External"/><Relationship Id="rId161" Type="http://schemas.openxmlformats.org/officeDocument/2006/relationships/hyperlink" Target="https://www.sec.gov/Archives/edgar/data/1061219/000106121907000037/exhibit4_55.htm" TargetMode="External"/><Relationship Id="rId162" Type="http://schemas.openxmlformats.org/officeDocument/2006/relationships/hyperlink" Target="https://www.sec.gov/Archives/edgar/data/1061219/000106121904000231/exhibit4-1.htm" TargetMode="External"/><Relationship Id="rId165" Type="http://schemas.openxmlformats.org/officeDocument/2006/relationships/hyperlink" Target="https://www.sec.gov/Archives/edgar/data/1061219/000106121904000231/exhibit4-5.htm" TargetMode="External"/><Relationship Id="rId166" Type="http://schemas.openxmlformats.org/officeDocument/2006/relationships/hyperlink" Target="https://www.sec.gov/Archives/edgar/data/1061219/000095013405004121/h22993exv4w3.htm" TargetMode="External"/><Relationship Id="rId167" Type="http://schemas.openxmlformats.org/officeDocument/2006/relationships/hyperlink" Target="https://www.sec.gov/Archives/edgar/data/1061219/000106121907000037/exhibit4_54.htm" TargetMode="External"/><Relationship Id="rId168" Type="http://schemas.openxmlformats.org/officeDocument/2006/relationships/hyperlink" Target="https://www.sec.gov/Archives/edgar/data/1061219/000095012309048189/h68150exv4w3.htm" TargetMode="External"/><Relationship Id="rId169" Type="http://schemas.openxmlformats.org/officeDocument/2006/relationships/hyperlink" Target="https://www.sec.gov/Archives/edgar/data/1061219/000095012309054271/h68298exv4w1.htm" TargetMode="External"/><Relationship Id="rId170" Type="http://schemas.openxmlformats.org/officeDocument/2006/relationships/hyperlink" Target="https://www.sec.gov/Archives/edgar/data/1061219/000095012309054271/h68298exv4w2.htm" TargetMode="External"/><Relationship Id="rId171" Type="http://schemas.openxmlformats.org/officeDocument/2006/relationships/hyperlink" Target="https://www.sec.gov/Archives/edgar/data/1061219/000095012310051426/h73201exv4w3.htm" TargetMode="External"/><Relationship Id="rId172" Type="http://schemas.openxmlformats.org/officeDocument/2006/relationships/hyperlink" Target="https://www.sec.gov/Archives/edgar/data/1061219/000095012311002459/h78817exv4w3.htm" TargetMode="External"/><Relationship Id="rId173" Type="http://schemas.openxmlformats.org/officeDocument/2006/relationships/hyperlink" Target="https://www.sec.gov/Archives/edgar/data/1061219/000095012311079627/h84367exv4w3.htm" TargetMode="External"/><Relationship Id="rId174" Type="http://schemas.openxmlformats.org/officeDocument/2006/relationships/hyperlink" Target="https://www.sec.gov/Archives/edgar/data/1061219/000106121912000015/exhibit4_25.htm" TargetMode="External"/><Relationship Id="rId175" Type="http://schemas.openxmlformats.org/officeDocument/2006/relationships/hyperlink" Target="https://www.sec.gov/Archives/edgar/data/1061219/000119312512351427/d396705dex43.htm" TargetMode="External"/><Relationship Id="rId176" Type="http://schemas.openxmlformats.org/officeDocument/2006/relationships/hyperlink" Target="https://www.sec.gov/Archives/edgar/data/1061219/000119312513111663/d504401dex43.htm" TargetMode="External"/><Relationship Id="rId177" Type="http://schemas.openxmlformats.org/officeDocument/2006/relationships/hyperlink" Target="https://www.sec.gov/Archives/edgar/data/1061219/000119312514047122/d677538dex43.htm" TargetMode="External"/><Relationship Id="rId178" Type="http://schemas.openxmlformats.org/officeDocument/2006/relationships/hyperlink" Target="https://www.sec.gov/Archives/edgar/data/1061219/000119312514370411/d804454dex44.htm" TargetMode="External"/><Relationship Id="rId179" Type="http://schemas.openxmlformats.org/officeDocument/2006/relationships/hyperlink" Target="https://www.sec.gov/Archives/edgar/data/1061219/000119312515176176/d924725dex43.htm" TargetMode="External"/><Relationship Id="rId180" Type="http://schemas.openxmlformats.org/officeDocument/2006/relationships/hyperlink" Target="https://www.sec.gov/Archives/edgar/data/1061219/000119312516539391/d159503dex44.htm" TargetMode="External"/><Relationship Id="rId181" Type="http://schemas.openxmlformats.org/officeDocument/2006/relationships/hyperlink" Target="https://www.sec.gov/Archives/edgar/data/1061219/000119312517259253/d443889dex43.htm" TargetMode="External"/><Relationship Id="rId183" Type="http://schemas.openxmlformats.org/officeDocument/2006/relationships/hyperlink" Target="https://www.sec.gov/Archives/edgar/data/1061219/000119312518046800/d528323dex44.htm" TargetMode="External"/><Relationship Id="rId184" Type="http://schemas.openxmlformats.org/officeDocument/2006/relationships/hyperlink" Target="https://www.sec.gov/Archives/edgar/data/1061219/000119312518046800/d528323dex43.htm" TargetMode="External"/><Relationship Id="rId185" Type="http://schemas.openxmlformats.org/officeDocument/2006/relationships/hyperlink" Target="https://www.sec.gov/Archives/edgar/data/1061219/000119312518297371/d626241dex43.htm" TargetMode="External"/><Relationship Id="rId186" Type="http://schemas.openxmlformats.org/officeDocument/2006/relationships/hyperlink" Target="https://www.sec.gov/Archives/edgar/data/1061219/000119312519190249/d754256dex43.htm" TargetMode="External"/><Relationship Id="rId187" Type="http://schemas.openxmlformats.org/officeDocument/2006/relationships/hyperlink" Target="https://www.sec.gov/Archives/edgar/data/1061219/000119312520007702/d120339dex43.htm" TargetMode="External"/><Relationship Id="rId188" Type="http://schemas.openxmlformats.org/officeDocument/2006/relationships/hyperlink" Target="https://www.sec.gov/Archives/edgar/data/1061219/000119312520212694/d946521dex44.htm" TargetMode="External"/><Relationship Id="rId189" Type="http://schemas.openxmlformats.org/officeDocument/2006/relationships/hyperlink" Target="https://www.sec.gov/Archives/edgar/data/0001061219/000119312521273639/d215284dex43.htm" TargetMode="External"/><Relationship Id="rId190" Type="http://schemas.openxmlformats.org/officeDocument/2006/relationships/hyperlink" Target="https://www.sec.gov/Archives/edgar/data/1061219/000119312523005587/d871196dex44.htm" TargetMode="External"/><Relationship Id="rId191" Type="http://schemas.openxmlformats.org/officeDocument/2006/relationships/hyperlink" Target="https://www.sec.gov/Archives/edgar/data/1061219/000119312524006408/d674876dex44.htm" TargetMode="External"/><Relationship Id="rId192" Type="http://schemas.openxmlformats.org/officeDocument/2006/relationships/hyperlink" Target="https://www.sec.gov/Archives/edgar/data/1061219/000119312524196647/d807033dex44.htm" TargetMode="External"/><Relationship Id="rId193" Type="http://schemas.openxmlformats.org/officeDocument/2006/relationships/hyperlink" Target="https://www.sec.gov/Archives/edgar/data/1061219/000119312525143357/d93202dex44.htm" TargetMode="External"/><Relationship Id="rId194" Type="http://schemas.openxmlformats.org/officeDocument/2006/relationships/hyperlink" Target="https://www.sec.gov/Archives/edgar/data/1061219/000095012905001997/h23076exv4w19.htm" TargetMode="External"/><Relationship Id="rId195" Type="http://schemas.openxmlformats.org/officeDocument/2006/relationships/hyperlink" Target="https://www.sec.gov/Archives/edgar/data/1061219/000106121905000158/exhibit4-32.htm" TargetMode="External"/><Relationship Id="rId202" Type="http://schemas.openxmlformats.org/officeDocument/2006/relationships/hyperlink" Target="https://www.sec.gov/Archives/edgar/data/1061219/000095012309054271/h68298exv4w9.htm" TargetMode="External"/><Relationship Id="rId203" Type="http://schemas.openxmlformats.org/officeDocument/2006/relationships/hyperlink" Target="https://www.sec.gov/Archives/edgar/data/1061219/000106121915000017/exhibit4_59.htm" TargetMode="External"/><Relationship Id="rId204" Type="http://schemas.openxmlformats.org/officeDocument/2006/relationships/hyperlink" Target="https://www.sec.gov/Archives/edgar/data/1061219/000119312520261373/d170716dex42.htm" TargetMode="External"/><Relationship Id="rId205" Type="http://schemas.openxmlformats.org/officeDocument/2006/relationships/hyperlink" Target="https://www.sec.gov/Archives/edgar/data/1061219/000119312526129053/d134793dex101.htm" TargetMode="External"/><Relationship Id="rId206" Type="http://schemas.openxmlformats.org/officeDocument/2006/relationships/hyperlink" Target="https://www.sec.gov/Archives/edgar/data/1061219/000119312526129053/d134793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2026-05-07T12:08:59Z</dcterms:created>
  <dcterms:modified xsi:type="dcterms:W3CDTF">2026-05-07T12:08:59Z</dcterms:modified>
</cp:coreProperties>
</file>