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370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37057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Bacon Graham W.</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1100 LOUISIANA STREET</w:t>
            </w:r>
          </w:p>
        </w:tc>
        <w:tc>
          <w:tcPr>
            <w:tcW w:w="14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1000</w:t>
            </w: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ENTERPRISE PRODUCTS PARTNERS</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4"/>
            <w:vMerge w:val="restart"/>
          </w:tcPr>
          <w:p>
            <w:pPr>
              <w:ind w:left="6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EPD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820" w:type="dxa"/>
            <w:vAlign w:val="bottom"/>
            <w:gridSpan w:val="4"/>
            <w:vMerge w:val="continue"/>
          </w:tcPr>
          <w:p>
            <w:pPr>
              <w:spacing w:after="0"/>
              <w:rPr>
                <w:sz w:val="7"/>
                <w:szCs w:val="7"/>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7"/>
                <w:szCs w:val="17"/>
                <w:color w:val="0000FF"/>
              </w:rPr>
              <w:t>EXECUTIVE VICE PRESIDENT &amp; COO</w:t>
            </w:r>
          </w:p>
        </w:tc>
        <w:tc>
          <w:tcPr>
            <w:tcW w:w="0" w:type="dxa"/>
            <w:vAlign w:val="bottom"/>
          </w:tcPr>
          <w:p>
            <w:pPr>
              <w:spacing w:after="0"/>
              <w:rPr>
                <w:sz w:val="1"/>
                <w:szCs w:val="1"/>
                <w:color w:val="auto"/>
              </w:rPr>
            </w:pPr>
          </w:p>
        </w:tc>
      </w:tr>
      <w:tr>
        <w:trPr>
          <w:trHeight w:val="218"/>
        </w:trPr>
        <w:tc>
          <w:tcPr>
            <w:tcW w:w="3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02/16/2026</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jc w:val="center"/>
              <w:ind w:left="4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8"/>
              </w:rPr>
              <w:t>23,750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31"/>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645,643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9"/>
              </w:rPr>
              <w:t>9,346</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36.75</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636,297</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8"/>
              </w:rPr>
              <w:t>25,000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31"/>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661,297</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9"/>
              </w:rPr>
              <w:t>9,838</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36.75</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651,459</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8"/>
              </w:rPr>
              <w:t>22,500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31"/>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673,959</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9"/>
              </w:rPr>
              <w:t>8,854</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36.75</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665,105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8"/>
              </w:rPr>
              <w:t>18,750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31"/>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683,855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Units Representing Limited</w:t>
            </w:r>
          </w:p>
        </w:tc>
        <w:tc>
          <w:tcPr>
            <w:tcW w:w="1760" w:type="dxa"/>
            <w:vAlign w:val="bottom"/>
            <w:gridSpan w:val="2"/>
            <w:vMerge w:val="restart"/>
          </w:tcPr>
          <w:p>
            <w:pPr>
              <w:jc w:val="center"/>
              <w:ind w:left="487"/>
              <w:spacing w:after="0"/>
              <w:rPr>
                <w:sz w:val="20"/>
                <w:szCs w:val="20"/>
                <w:color w:val="auto"/>
              </w:rPr>
            </w:pPr>
            <w:r>
              <w:rPr>
                <w:rFonts w:ascii="Times New Roman" w:cs="Times New Roman" w:eastAsia="Times New Roman" w:hAnsi="Times New Roman"/>
                <w:sz w:val="17"/>
                <w:szCs w:val="17"/>
                <w:color w:val="0000FF"/>
                <w:w w:val="98"/>
              </w:rPr>
              <w:t>02/16/2026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00" w:type="dxa"/>
            <w:vAlign w:val="bottom"/>
            <w:vMerge w:val="restart"/>
          </w:tcPr>
          <w:p>
            <w:pPr>
              <w:jc w:val="center"/>
              <w:ind w:left="71"/>
              <w:spacing w:after="0"/>
              <w:rPr>
                <w:sz w:val="20"/>
                <w:szCs w:val="20"/>
                <w:color w:val="auto"/>
              </w:rPr>
            </w:pPr>
            <w:r>
              <w:rPr>
                <w:rFonts w:ascii="Times New Roman" w:cs="Times New Roman" w:eastAsia="Times New Roman" w:hAnsi="Times New Roman"/>
                <w:sz w:val="17"/>
                <w:szCs w:val="17"/>
                <w:color w:val="0000FF"/>
                <w:w w:val="99"/>
              </w:rPr>
              <w:t>7,379</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36.75</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676,476</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 Interests</w:t>
            </w:r>
          </w:p>
        </w:tc>
        <w:tc>
          <w:tcPr>
            <w:tcW w:w="11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4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29"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31"/>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02/16/2026</w:t>
            </w:r>
          </w:p>
        </w:tc>
        <w:tc>
          <w:tcPr>
            <w:tcW w:w="10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23,750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600" w:type="dxa"/>
            <w:vAlign w:val="bottom"/>
          </w:tcPr>
          <w:p>
            <w:pPr>
              <w:jc w:val="center"/>
              <w:ind w:right="171"/>
              <w:spacing w:after="0"/>
              <w:rPr>
                <w:sz w:val="20"/>
                <w:szCs w:val="20"/>
                <w:color w:val="auto"/>
              </w:rPr>
            </w:pPr>
            <w:r>
              <w:rPr>
                <w:rFonts w:ascii="Times New Roman" w:cs="Times New Roman" w:eastAsia="Times New Roman" w:hAnsi="Times New Roman"/>
                <w:sz w:val="11"/>
                <w:szCs w:val="11"/>
                <w:color w:val="008000"/>
                <w:w w:val="93"/>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23,750</w:t>
            </w:r>
          </w:p>
        </w:tc>
        <w:tc>
          <w:tcPr>
            <w:tcW w:w="160" w:type="dxa"/>
            <w:vAlign w:val="bottom"/>
          </w:tcPr>
          <w:p>
            <w:pPr>
              <w:spacing w:after="0"/>
              <w:rPr>
                <w:sz w:val="20"/>
                <w:szCs w:val="20"/>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20"/>
                <w:szCs w:val="20"/>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02/16/2026</w:t>
            </w:r>
          </w:p>
        </w:tc>
        <w:tc>
          <w:tcPr>
            <w:tcW w:w="10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25,000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20"/>
                <w:szCs w:val="20"/>
                <w:color w:val="auto"/>
              </w:rPr>
            </w:pPr>
          </w:p>
        </w:tc>
        <w:tc>
          <w:tcPr>
            <w:tcW w:w="600" w:type="dxa"/>
            <w:vAlign w:val="bottom"/>
          </w:tcPr>
          <w:p>
            <w:pPr>
              <w:jc w:val="center"/>
              <w:ind w:right="171"/>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25,000</w:t>
            </w:r>
          </w:p>
        </w:tc>
        <w:tc>
          <w:tcPr>
            <w:tcW w:w="160" w:type="dxa"/>
            <w:vAlign w:val="bottom"/>
          </w:tcPr>
          <w:p>
            <w:pPr>
              <w:spacing w:after="0"/>
              <w:rPr>
                <w:sz w:val="20"/>
                <w:szCs w:val="20"/>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20"/>
                <w:szCs w:val="20"/>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02/16/2026</w:t>
            </w:r>
          </w:p>
        </w:tc>
        <w:tc>
          <w:tcPr>
            <w:tcW w:w="10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22,500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20"/>
                <w:szCs w:val="20"/>
                <w:color w:val="auto"/>
              </w:rPr>
            </w:pPr>
          </w:p>
        </w:tc>
        <w:tc>
          <w:tcPr>
            <w:tcW w:w="600" w:type="dxa"/>
            <w:vAlign w:val="bottom"/>
          </w:tcPr>
          <w:p>
            <w:pPr>
              <w:jc w:val="center"/>
              <w:ind w:right="171"/>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160" w:type="dxa"/>
            <w:vAlign w:val="bottom"/>
          </w:tcPr>
          <w:p>
            <w:pPr>
              <w:spacing w:after="0"/>
              <w:rPr>
                <w:sz w:val="20"/>
                <w:szCs w:val="20"/>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45,000</w:t>
            </w:r>
          </w:p>
        </w:tc>
        <w:tc>
          <w:tcPr>
            <w:tcW w:w="280" w:type="dxa"/>
            <w:vAlign w:val="bottom"/>
          </w:tcPr>
          <w:p>
            <w:pPr>
              <w:spacing w:after="0"/>
              <w:rPr>
                <w:sz w:val="20"/>
                <w:szCs w:val="20"/>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02/16/2026</w:t>
            </w:r>
          </w:p>
        </w:tc>
        <w:tc>
          <w:tcPr>
            <w:tcW w:w="10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18,750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20"/>
                <w:szCs w:val="20"/>
                <w:color w:val="auto"/>
              </w:rPr>
            </w:pPr>
          </w:p>
        </w:tc>
        <w:tc>
          <w:tcPr>
            <w:tcW w:w="600" w:type="dxa"/>
            <w:vAlign w:val="bottom"/>
          </w:tcPr>
          <w:p>
            <w:pPr>
              <w:jc w:val="center"/>
              <w:ind w:right="171"/>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18,750</w:t>
            </w:r>
          </w:p>
        </w:tc>
        <w:tc>
          <w:tcPr>
            <w:tcW w:w="160" w:type="dxa"/>
            <w:vAlign w:val="bottom"/>
          </w:tcPr>
          <w:p>
            <w:pPr>
              <w:spacing w:after="0"/>
              <w:rPr>
                <w:sz w:val="20"/>
                <w:szCs w:val="20"/>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56,250</w:t>
            </w:r>
          </w:p>
        </w:tc>
        <w:tc>
          <w:tcPr>
            <w:tcW w:w="280" w:type="dxa"/>
            <w:vAlign w:val="bottom"/>
          </w:tcPr>
          <w:p>
            <w:pPr>
              <w:spacing w:after="0"/>
              <w:rPr>
                <w:sz w:val="20"/>
                <w:szCs w:val="20"/>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21"/>
                <w:szCs w:val="21"/>
                <w:color w:val="auto"/>
              </w:rPr>
            </w:pPr>
          </w:p>
        </w:tc>
        <w:tc>
          <w:tcPr>
            <w:tcW w:w="600" w:type="dxa"/>
            <w:vAlign w:val="bottom"/>
          </w:tcPr>
          <w:p>
            <w:pPr>
              <w:jc w:val="center"/>
              <w:ind w:right="17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85,000</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4"/>
              </w:rPr>
              <w:t>85,000</w:t>
            </w:r>
          </w:p>
        </w:tc>
        <w:tc>
          <w:tcPr>
            <w:tcW w:w="280" w:type="dxa"/>
            <w:vAlign w:val="bottom"/>
          </w:tcPr>
          <w:p>
            <w:pPr>
              <w:spacing w:after="0"/>
              <w:rPr>
                <w:sz w:val="21"/>
                <w:szCs w:val="21"/>
                <w:color w:val="auto"/>
              </w:rPr>
            </w:pPr>
          </w:p>
        </w:tc>
        <w:tc>
          <w:tcPr>
            <w:tcW w:w="660" w:type="dxa"/>
            <w:vAlign w:val="bottom"/>
          </w:tcPr>
          <w:p>
            <w:pPr>
              <w:jc w:val="center"/>
              <w:ind w:left="10"/>
              <w:spacing w:after="0" w:line="245"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(7)</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5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-2971165</wp:posOffset>
            </wp:positionV>
            <wp:extent cx="29210" cy="297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68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unit is the economic equivalent of one EPD common unit.</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vested in one remaining annual installment on February 16, 2026. The remaining annual installment expired upon vesting and settlement thereof in exchange for an equal number of EPD common units.</w:t>
      </w:r>
    </w:p>
    <w:p>
      <w:pPr>
        <w:spacing w:after="0" w:line="16" w:lineRule="exact"/>
        <w:rPr>
          <w:rFonts w:ascii="Times New Roman" w:cs="Times New Roman" w:eastAsia="Times New Roman" w:hAnsi="Times New Roman"/>
          <w:sz w:val="13"/>
          <w:szCs w:val="13"/>
          <w:color w:val="008000"/>
        </w:rPr>
      </w:pPr>
    </w:p>
    <w:p>
      <w:pPr>
        <w:ind w:right="120"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vest in two remaining equal annual installments beginning on February 16, 2026. Each remaining annual installment will expire upon vesting and settlement thereof in exchange for an equal number of EPD common units.</w:t>
      </w:r>
    </w:p>
    <w:p>
      <w:pPr>
        <w:spacing w:after="0" w:line="16" w:lineRule="exact"/>
        <w:rPr>
          <w:rFonts w:ascii="Times New Roman" w:cs="Times New Roman" w:eastAsia="Times New Roman" w:hAnsi="Times New Roman"/>
          <w:sz w:val="13"/>
          <w:szCs w:val="13"/>
          <w:color w:val="008000"/>
        </w:rPr>
      </w:pPr>
    </w:p>
    <w:p>
      <w:pPr>
        <w:ind w:right="60"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vest in three remaining equal annual installments beginning on February 16, 2026. Each remaining annual installment will expire upon vesting and settlement thereof in exchange for an equal number of EPD common units.</w:t>
      </w:r>
    </w:p>
    <w:p>
      <w:pPr>
        <w:spacing w:after="0" w:line="16" w:lineRule="exact"/>
        <w:rPr>
          <w:rFonts w:ascii="Times New Roman" w:cs="Times New Roman" w:eastAsia="Times New Roman" w:hAnsi="Times New Roman"/>
          <w:sz w:val="13"/>
          <w:szCs w:val="13"/>
          <w:color w:val="008000"/>
        </w:rPr>
      </w:pPr>
    </w:p>
    <w:p>
      <w:pPr>
        <w:ind w:right="60"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vest in four equal annual installments beginning on February 16, 2026. Each annual installment will expire upon vesting and settlement thereof in exchange for an equal number of EPD common units.</w:t>
      </w:r>
    </w:p>
    <w:p>
      <w:pPr>
        <w:spacing w:after="0" w:line="16" w:lineRule="exact"/>
        <w:rPr>
          <w:rFonts w:ascii="Times New Roman" w:cs="Times New Roman" w:eastAsia="Times New Roman" w:hAnsi="Times New Roman"/>
          <w:sz w:val="13"/>
          <w:szCs w:val="13"/>
          <w:color w:val="008000"/>
        </w:rPr>
      </w:pPr>
    </w:p>
    <w:p>
      <w:pPr>
        <w:ind w:right="60" w:firstLine="2"/>
        <w:spacing w:after="0" w:line="25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phantom units vest in four equal annual installments beginning on February 16, 2027. Each annual installment will expire upon vesting and settlement thereof in exchange for an equal number of EPD common units.</w:t>
      </w:r>
    </w:p>
    <w:p>
      <w:pPr>
        <w:spacing w:after="0" w:line="1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power of attorney under which this form was signed is on file with the Commission.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3"/>
          <w:szCs w:val="13"/>
          <w:color w:val="008000"/>
        </w:rPr>
        <w:t>Transaction Code M - Exercise or conversion of derivative security exempted pursuant to Rule 16b-3; Transaction Code F - Payment of exercise price or tax liability by delivering or withholding securities incident to the receipt, exercise or vesting of a security issued in accordance with Rule 16b-3</w:t>
      </w:r>
    </w:p>
    <w:p>
      <w:pPr>
        <w:spacing w:after="0" w:line="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/s/Jennifer W. Dickson,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996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Graham W.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8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8375" TargetMode="External"/><Relationship Id="rId14" Type="http://schemas.openxmlformats.org/officeDocument/2006/relationships/hyperlink" Target="http://www.sec.gov/cgi-bin/browse-edgar?action=getcompany&amp;CIK=00010612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2026-02-18T15:24:52Z</dcterms:created>
  <dcterms:modified xsi:type="dcterms:W3CDTF">2026-02-18T15:24:52Z</dcterms:modified>
</cp:coreProperties>
</file>