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 PURSUANT TO</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28, 2026</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ENTERPRISE PRODUCTS PARTNERS L.P.</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1272" w:right="339" w:bottom="1440" w:gutter="0" w:footer="0" w:header="0"/>
        </w:sectPr>
      </w:pPr>
    </w:p>
    <w:p>
      <w:pPr>
        <w:spacing w:after="0" w:line="25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1-14323</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76-0568219</w:t>
      </w:r>
    </w:p>
    <w:p>
      <w:pPr>
        <w:spacing w:after="0" w:line="67" w:lineRule="exact"/>
        <w:rPr>
          <w:sz w:val="24"/>
          <w:szCs w:val="24"/>
          <w:color w:val="auto"/>
        </w:rPr>
      </w:pPr>
    </w:p>
    <w:p>
      <w:pPr>
        <w:sectPr>
          <w:pgSz w:w="11900" w:h="16838" w:orient="portrait"/>
          <w:cols w:equalWidth="0" w:num="3">
            <w:col w:w="4600" w:space="720"/>
            <w:col w:w="2880" w:space="720"/>
            <w:col w:w="2320"/>
          </w:cols>
          <w:pgMar w:left="320" w:top="1272"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3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00" w:space="720"/>
            <w:col w:w="3360" w:space="720"/>
            <w:col w:w="2540"/>
          </w:cols>
          <w:pgMar w:left="320" w:top="1272" w:right="339" w:bottom="1440" w:gutter="0" w:footer="0" w:header="0"/>
          <w:type w:val="continuous"/>
        </w:sectPr>
      </w:pPr>
    </w:p>
    <w:p>
      <w:pPr>
        <w:spacing w:after="0" w:line="165"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b w:val="1"/>
          <w:bCs w:val="1"/>
          <w:color w:val="auto"/>
        </w:rPr>
        <w:t>1100 Louisiana Street, 10th Floor, Houston, Texas</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67" w:lineRule="exact"/>
        <w:rPr>
          <w:sz w:val="24"/>
          <w:szCs w:val="24"/>
          <w:color w:val="auto"/>
        </w:rPr>
      </w:pPr>
    </w:p>
    <w:p>
      <w:pPr>
        <w:sectPr>
          <w:pgSz w:w="11900" w:h="16838" w:orient="portrait"/>
          <w:cols w:equalWidth="0" w:num="2">
            <w:col w:w="7480" w:space="720"/>
            <w:col w:w="3040"/>
          </w:cols>
          <w:pgMar w:left="320" w:top="1272" w:right="339" w:bottom="1440" w:gutter="0" w:footer="0" w:header="0"/>
          <w:type w:val="continuous"/>
        </w:sectPr>
      </w:pPr>
    </w:p>
    <w:p>
      <w:pPr>
        <w:ind w:left="1340"/>
        <w:spacing w:after="0"/>
        <w:tabs>
          <w:tab w:leader="none" w:pos="802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7"/>
          <w:szCs w:val="17"/>
          <w:color w:val="auto"/>
        </w:rPr>
        <w:t>(Zip Code)</w:t>
      </w:r>
    </w:p>
    <w:p>
      <w:pPr>
        <w:sectPr>
          <w:pgSz w:w="11900" w:h="16838" w:orient="portrait"/>
          <w:cols w:equalWidth="0" w:num="1">
            <w:col w:w="11240"/>
          </w:cols>
          <w:pgMar w:left="320" w:top="1272" w:right="339" w:bottom="1440" w:gutter="0" w:footer="0" w:header="0"/>
          <w:type w:val="continuous"/>
        </w:sect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381-6500</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34"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2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21" w:lineRule="exact"/>
        <w:rPr>
          <w:rFonts w:ascii="MS PGothic" w:cs="MS PGothic" w:eastAsia="MS PGothic" w:hAnsi="MS PGothic"/>
          <w:sz w:val="16"/>
          <w:szCs w:val="16"/>
          <w:color w:val="auto"/>
        </w:rPr>
      </w:pPr>
    </w:p>
    <w:p>
      <w:pPr>
        <w:ind w:right="3800" w:firstLine="8"/>
        <w:spacing w:after="0" w:line="571" w:lineRule="auto"/>
        <w:tabs>
          <w:tab w:leader="none" w:pos="18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Securities Exchange Act of 1934:</w:t>
      </w:r>
    </w:p>
    <w:tbl>
      <w:tblPr>
        <w:tblLayout w:type="fixed"/>
        <w:tblInd w:w="1220" w:type="dxa"/>
        <w:tblCellMar>
          <w:top w:w="0" w:type="dxa"/>
          <w:left w:w="0" w:type="dxa"/>
          <w:bottom w:w="0" w:type="dxa"/>
          <w:right w:w="0" w:type="dxa"/>
        </w:tblCellMar>
      </w:tblPr>
      <w:tr>
        <w:trPr>
          <w:trHeight w:val="178"/>
        </w:trPr>
        <w:tc>
          <w:tcPr>
            <w:tcW w:w="3300" w:type="dxa"/>
            <w:vAlign w:val="bottom"/>
            <w:gridSpan w:val="2"/>
          </w:tcPr>
          <w:p>
            <w:pPr>
              <w:jc w:val="center"/>
              <w:ind w:right="2000"/>
              <w:spacing w:after="0" w:line="178"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2780" w:type="dxa"/>
            <w:vAlign w:val="bottom"/>
            <w:gridSpan w:val="2"/>
          </w:tcPr>
          <w:p>
            <w:pPr>
              <w:jc w:val="center"/>
              <w:ind w:right="1480"/>
              <w:spacing w:after="0" w:line="178" w:lineRule="exact"/>
              <w:rPr>
                <w:sz w:val="20"/>
                <w:szCs w:val="20"/>
                <w:color w:val="auto"/>
              </w:rPr>
            </w:pPr>
            <w:r>
              <w:rPr>
                <w:rFonts w:ascii="Times New Roman" w:cs="Times New Roman" w:eastAsia="Times New Roman" w:hAnsi="Times New Roman"/>
                <w:sz w:val="16"/>
                <w:szCs w:val="16"/>
                <w:b w:val="1"/>
                <w:bCs w:val="1"/>
                <w:color w:val="auto"/>
              </w:rPr>
              <w:t>Trading Symbol(s)</w:t>
            </w:r>
          </w:p>
        </w:tc>
        <w:tc>
          <w:tcPr>
            <w:tcW w:w="322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58"/>
        </w:trPr>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Units</w:t>
            </w:r>
          </w:p>
        </w:tc>
        <w:tc>
          <w:tcPr>
            <w:tcW w:w="2000" w:type="dxa"/>
            <w:vAlign w:val="bottom"/>
          </w:tcPr>
          <w:p>
            <w:pPr>
              <w:spacing w:after="0"/>
              <w:rPr>
                <w:sz w:val="22"/>
                <w:szCs w:val="22"/>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EPD</w:t>
            </w:r>
          </w:p>
        </w:tc>
        <w:tc>
          <w:tcPr>
            <w:tcW w:w="1480" w:type="dxa"/>
            <w:vAlign w:val="bottom"/>
          </w:tcPr>
          <w:p>
            <w:pPr>
              <w:spacing w:after="0"/>
              <w:rPr>
                <w:sz w:val="22"/>
                <w:szCs w:val="22"/>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316"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57"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2026, Enterprise Products Partners L.P. (“Enterprise” or the “Partnership”) (NYSE:EPD) issued a press release announcing its financial and operating results for the three months ended March 31, 2026, and will hold a webcast conference call discussing those results. A copy of the earnings press release is furnished as Exhibit 99.1 to this Current Report, which is hereby incorporated by reference into this Item 2.02.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8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auto"/>
        </w:rPr>
        <w:t>Exhibit No.</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6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Enterprise Products Partners L.P. earnings press release dated April 28, 2026.</w:t>
      </w:r>
    </w:p>
    <w:p>
      <w:pPr>
        <w:spacing w:after="0" w:line="63" w:lineRule="exact"/>
        <w:rPr>
          <w:sz w:val="20"/>
          <w:szCs w:val="20"/>
          <w:color w:val="auto"/>
        </w:rPr>
      </w:pPr>
    </w:p>
    <w:p>
      <w:pPr>
        <w:ind w:left="1220" w:right="240" w:hanging="1194"/>
        <w:spacing w:after="0" w:line="282" w:lineRule="auto"/>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81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tc>
        <w:tc>
          <w:tcPr>
            <w:tcW w:w="0" w:type="dxa"/>
            <w:vAlign w:val="bottom"/>
          </w:tcPr>
          <w:p>
            <w:pPr>
              <w:spacing w:after="0"/>
              <w:rPr>
                <w:sz w:val="1"/>
                <w:szCs w:val="1"/>
                <w:color w:val="auto"/>
              </w:rPr>
            </w:pPr>
          </w:p>
        </w:tc>
      </w:tr>
      <w:tr>
        <w:trPr>
          <w:trHeight w:val="252"/>
        </w:trPr>
        <w:tc>
          <w:tcPr>
            <w:tcW w:w="2960" w:type="dxa"/>
            <w:vAlign w:val="bottom"/>
          </w:tcPr>
          <w:p>
            <w:pPr>
              <w:spacing w:after="0"/>
              <w:rPr>
                <w:sz w:val="21"/>
                <w:szCs w:val="21"/>
                <w:color w:val="auto"/>
              </w:rPr>
            </w:pPr>
          </w:p>
        </w:tc>
        <w:tc>
          <w:tcPr>
            <w:tcW w:w="24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Products Holdings LLC,</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75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24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R. Daniel Boss</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4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rPr>
              <w:t>Name:</w:t>
            </w:r>
          </w:p>
        </w:tc>
        <w:tc>
          <w:tcPr>
            <w:tcW w:w="5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2420" w:type="dxa"/>
            <w:vAlign w:val="bottom"/>
            <w:vMerge w:val="continue"/>
          </w:tcPr>
          <w:p>
            <w:pPr>
              <w:spacing w:after="0"/>
              <w:rPr>
                <w:sz w:val="20"/>
                <w:szCs w:val="20"/>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 Daniel Boss</w:t>
            </w:r>
          </w:p>
        </w:tc>
        <w:tc>
          <w:tcPr>
            <w:tcW w:w="0" w:type="dxa"/>
            <w:vAlign w:val="bottom"/>
          </w:tcPr>
          <w:p>
            <w:pPr>
              <w:spacing w:after="0"/>
              <w:rPr>
                <w:sz w:val="1"/>
                <w:szCs w:val="1"/>
                <w:color w:val="auto"/>
              </w:rPr>
            </w:pPr>
          </w:p>
        </w:tc>
      </w:tr>
      <w:tr>
        <w:trPr>
          <w:trHeight w:val="252"/>
        </w:trPr>
        <w:tc>
          <w:tcPr>
            <w:tcW w:w="2960" w:type="dxa"/>
            <w:vAlign w:val="bottom"/>
          </w:tcPr>
          <w:p>
            <w:pPr>
              <w:spacing w:after="0"/>
              <w:rPr>
                <w:sz w:val="21"/>
                <w:szCs w:val="21"/>
                <w:color w:val="auto"/>
              </w:rPr>
            </w:pPr>
          </w:p>
        </w:tc>
        <w:tc>
          <w:tcPr>
            <w:tcW w:w="24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Enterprise Products</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Holdings LLC</w:t>
            </w:r>
          </w:p>
        </w:tc>
        <w:tc>
          <w:tcPr>
            <w:tcW w:w="0" w:type="dxa"/>
            <w:vAlign w:val="bottom"/>
          </w:tcPr>
          <w:p>
            <w:pPr>
              <w:spacing w:after="0"/>
              <w:rPr>
                <w:sz w:val="1"/>
                <w:szCs w:val="1"/>
                <w:color w:val="auto"/>
              </w:rPr>
            </w:pPr>
          </w:p>
        </w:tc>
      </w:tr>
      <w:tr>
        <w:trPr>
          <w:trHeight w:val="932"/>
        </w:trPr>
        <w:tc>
          <w:tcPr>
            <w:tcW w:w="29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2468880"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68880" cy="58293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Enterprise Reports First Quarter 2026 Earnings</w:t>
      </w:r>
    </w:p>
    <w:p>
      <w:pPr>
        <w:spacing w:after="0" w:line="32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Houston, Texas (Tuesday, April 28, 2026) </w:t>
      </w:r>
      <w:r>
        <w:rPr>
          <w:rFonts w:ascii="Times New Roman" w:cs="Times New Roman" w:eastAsia="Times New Roman" w:hAnsi="Times New Roman"/>
          <w:sz w:val="18"/>
          <w:szCs w:val="18"/>
          <w:color w:val="auto"/>
        </w:rPr>
        <w:t>– Enterprise Products Partners L.P. (“Enterprise”) (NYSE: EPD) today announced its financial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three months ended March 31, 2026.</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 (1Q 2026 compared to 1Q 2025, as applicable)</w:t>
      </w:r>
    </w:p>
    <w:p>
      <w:pPr>
        <w:spacing w:after="0" w:line="31"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$1.9 billion, up 8%</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common unitholders: $1.5 billion, $0.68 per diluted common unit, up 6%</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$2.7 billion, up 10%</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DCF: $2.1 billion, which provided 1.8x coverage of distributions declared for 1Q 2026, up 5%; retained $1.5 billion of DCF</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CFFO: $2.3 billion, up 10%</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 repurchases: $116 million; 31% cumulative utilization of $5.0 billion buyback program</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12 months ended March 31, 2026, the payout ratio, comprised of distributions to common unitholders and common unit buybacks, was 57% of Adjusted CFFO</w:t>
      </w: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declared: $0.55 per common unit, or $2.20 per common unit annualized, up 2.8%</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principal outstanding: $34.2 billion as of March 31, 2026</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liquidity (available liquidity under revolving credit facilities plus unrestricted cash on hand): $3.3 billion as of 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Investment and Operational Highlights (1Q 2026 compared to 1Q 2025, as applicable)</w:t>
      </w:r>
    </w:p>
    <w:p>
      <w:pPr>
        <w:spacing w:after="0" w:line="31"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natural gas processing plant inlet volumes: 8.3 Bcf/d, up 7%, driven by a 9% increase in Permian plant inlet volumes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equivalent pipeline transportation volumes: 14.2 MMBPD, up 7%</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marine terminal volumes: 2.3 MMBPD, up 15%</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NGL fractionation volumes: 1.9 MMBPD, up 16%</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placed into service: Mentone West 2 Gas Processing Plant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two additional 300 MMcf/d natural gas processing plants in the Permian Basin</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investments for 1Q 2026: $988 million, comprised of $783 million for growth capital projects and $205 million for sustaining capital expenditures</w:t>
      </w:r>
    </w:p>
    <w:p>
      <w:pPr>
        <w:ind w:left="980" w:hanging="324"/>
        <w:spacing w:after="0" w:line="26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capital spending for 2026, net of $596 million of proceeds from asset sales, is expected to be in the range of $2.3 to $2.6 billion; and $580 million for sustaining capital expenditures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to Discuss First Quarter 2026 Earnings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Enterprise will host a conference call today to discuss first quarter 2026 earnings. The call will be webcast live beginning at 9:00 a.m. CT and may be accessed by visiting the partnership’s website at </w:t>
      </w:r>
      <w:r>
        <w:rPr>
          <w:rFonts w:ascii="Times New Roman" w:cs="Times New Roman" w:eastAsia="Times New Roman" w:hAnsi="Times New Roman"/>
          <w:sz w:val="18"/>
          <w:szCs w:val="18"/>
          <w:u w:val="single" w:color="auto"/>
          <w:color w:val="0000FF"/>
        </w:rPr>
        <w:t>www.enterpriseproducts.com</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4"/>
          <w:szCs w:val="14"/>
          <w:i w:val="1"/>
          <w:iCs w:val="1"/>
          <w:color w:val="auto"/>
        </w:rPr>
        <w:t>Adjusted earnings before interest, taxes, depreciation and amortization (“Adjusted EBITDA”), distributable cash flow (“DCF”), Operational distributable cash flow (“Operational DCF”), Adjusted cash flow from operations (“Adjusted CFFO”), total gross operating margin, and adjusted free cash flow (“Adjusted FCF”) are non-generally accepted accounting principle (“non-GAAP”) financial measures that are defined and reconciled later in this press release.</w:t>
      </w:r>
    </w:p>
    <w:p>
      <w:pPr>
        <w:spacing w:after="0" w:line="18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i w:val="1"/>
          <w:iCs w:val="1"/>
          <w:color w:val="auto"/>
        </w:rPr>
        <w:t>As used in this press release, “NGL” means natural gas liquids, “LPG” means liquefied petroleum gas, “BPD” means barrels per day, “MBPD” means thousand barrels per day, “MMBPD” means million barrels per day, “MMcf/d” means million cubic feet per day, “Bcf/d” means billion cubic feet per day, “BBtus/d” means billion British thermal units per day, “TBtus/d” means trillion British thermal units per day, and “PDH” means propane dehydrogenation.</w:t>
      </w:r>
    </w:p>
    <w:p>
      <w:pPr>
        <w:sectPr>
          <w:pgSz w:w="11900" w:h="16838" w:orient="portrait"/>
          <w:cols w:equalWidth="0" w:num="1">
            <w:col w:w="11240"/>
          </w:cols>
          <w:pgMar w:left="320" w:top="1035" w:right="339" w:bottom="1440" w:gutter="0" w:footer="0" w:header="0"/>
        </w:sectPr>
      </w:pPr>
    </w:p>
    <w:bookmarkStart w:id="4" w:name="page5"/>
    <w:bookmarkEnd w:id="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“Enterprise began 2026 with a strong start in the first quarter,” said A.J. “Jim” Teague, co-chief executive officer of Enterprise’s general partner. “Contributions from new assets placed in service over the past year and continuing to volumetrically ramp up, such as the Bahia NGL pipeline, NGL fractionator 14 and three Permian natural gas processing plants, led to record volumes across most of our integrated system. In total, our partnership set 12 new operational records during the quarter including for natural gas processing inlet volumes of 8.3 Bcf/d, equivalent pipeline volumes of 14.2 MMBPD, NGL fractionation volumes of 1.9 MMBPD and marine terminal volumes of 2.3 MMBPD. This volume growth together with higher utilization rates at our PDH facilities, an increase in natural gas pipeline and marketing volumes and margins and higher values for 234 MBPD of equity NGL-equivalent production led to a quarter of strong earnings and cash flow.”</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quarter, we generated $2.7 billion of DCF, including approximately $600 million of proceeds received in the first quarter of 2026 from the final payment for our sale of a 40 percent interest in the Bahia NGL pipeline to ExxonMobil. Our DCF for the quarter supported a 2.8 percent increase in our cash distribution rate to common unitholders and allowed us to retain $1.5 billion of DCF to reinvest in the growth of the partnership and fund $116 million of buybacks in the first quarter,” said Teague.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commercial team in the Permian continues to have success in underwriting new natural gas processing plants and related infrastructure to support future growth from our oil and gas producer customers. To accommodate this production growth, Enterprise will build two additional 300 MMcf/d natural gas processing plants, one each in the Midland and Delaware Basins that are expected to begin operations during 2027. These plants will increase our natural gas processing capacity by an additional 12 percent. Since the Navitas Midstream acquisition in 2022, we have been increasing our natural gas processing capacity in the Permian at a 17 percent compound annual growth rate. With the trend of higher ratios of natural gas and NGL production to crude oil production, we expect natural gas and NGL production growth from the Permian to be 1.6 times that of crude oil production growth. This provides visibility to the need for additional investments in natural gas gathering, treating and processing capacity to facilitate further development of the basin. The NGL volumes from these new plants will flow into our integrated system of downstream NGL pipelines, fractionators, distribution pipelines to domestic markets and marine terminals to serve international markets. We now have approximately $5.3 billion of major growth capital projects under construction,” stated Teague.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recent disruption of exports from the Middle East, we are seeing strong demand for the security and reliability of U.S. energy exports. We are experiencing this uptick in demand across all of our marine terminals including record demand for the partnership’s ethylene export facility. I would like to congratulate our engineering and operations team for expediting the second phase of our Neches River NGL marine terminal. We began LPG commissioning activities at the terminal earlier this month and will also begin ethane commissioning activities later in May. These efforts enable Enterprise to promptly respond to the increase in global demand for U.S. energy,” concluded Teague.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Review of First Quarter 2026 Results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gross operating margin was $2.6 billion for the first quarter of 2026 compared to $2.4 billion for the first quarter of 2025.</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NGL Pipelines &amp; Services </w:t>
      </w:r>
      <w:r>
        <w:rPr>
          <w:rFonts w:ascii="Times New Roman" w:cs="Times New Roman" w:eastAsia="Times New Roman" w:hAnsi="Times New Roman"/>
          <w:sz w:val="18"/>
          <w:szCs w:val="18"/>
          <w:color w:val="auto"/>
        </w:rPr>
        <w:t>– Gross operating margin from the NGL Pipelines &amp; Services segment was $1.5 billion for the first quarter of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$1.4 billion for the first quarter of 2025.</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operating margin from the natural gas processing business and related NGL marketing activities was $415 million for the first quarter of 2026 compared to $373 million for the first quarter of 2025. Natural gas processing plant inlet volumes were a record 8.3 Bcf/d in the first quarter of 2026, a 7 percent increase compared to the first quarter of 2025. Total fee-based natural gas processing volumes increased 4 percent, or 297 MMcf/d, to a record 7.5 Bcf/d in the first quarter of 2026, compared to the first quarter of 2025. Total equity NGL-equivalent production volumes were 234 MBPD and 225 MBPD in the first quarters of 2026 and 2025, respectively. The following highlights summarize selected variances within this business, with results for the first quarter of 2026 as compared to the first quarter of 2025:</w:t>
      </w:r>
    </w:p>
    <w:p>
      <w:pPr>
        <w:spacing w:after="0" w:line="187" w:lineRule="exact"/>
        <w:rPr>
          <w:sz w:val="20"/>
          <w:szCs w:val="20"/>
          <w:color w:val="auto"/>
        </w:rPr>
      </w:pPr>
    </w:p>
    <w:p>
      <w:pPr>
        <w:ind w:left="980" w:right="2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Permian natural gas processing, including the Delaware and Midland Basin facilities, reported a $47 million increase in gross operating margin primarily due to higher average processing margins and higher fee-based processing volumes.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985" w:right="339" w:bottom="1440" w:gutter="0" w:footer="0" w:header="0"/>
        </w:sectPr>
      </w:pPr>
    </w:p>
    <w:bookmarkStart w:id="5" w:name="page6"/>
    <w:bookmarkEnd w:id="5"/>
    <w:p>
      <w:pPr>
        <w:jc w:val="both"/>
        <w:ind w:left="980" w:hanging="324"/>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higher fee-based processing volumes were primarily due to the three natural gas processing plants beginning operations in the past twelve months: Mentone West 1 and Orion in the third quarter of 2025 and Mentone West 2 in the first quarter of 2026. Permian Basin processing plant inlet volumes increased 345 MMcf/d.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operating margin from the NGL pipelines and storage business was $832 million for the first quarter of 2026 compared to $831 million for the first quarter of 2025. Total NGL pipeline volumes were a record 4.9 MMBPD in the first quarter of 2026, a 434 MBPD, or 10 percent, increase over the first quarter of 2025. Total NGL marine terminal volumes were a record 1.1 MMBPD in the first quarter of 2026, a 103 MBPD increase compared to the first quarter of 2025. The following highlights summarize selected variances within this business, with results for the first quarter of 2026 as compared to the first quarter of 2025:</w:t>
      </w:r>
    </w:p>
    <w:p>
      <w:pPr>
        <w:spacing w:after="0" w:line="183" w:lineRule="exact"/>
        <w:rPr>
          <w:sz w:val="20"/>
          <w:szCs w:val="20"/>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combined basis, the pipelines serving the Permian and Rocky Mountain regions reported a $22 million increase in gross operating margin. The Bahia NGL Pipeline was placed into service during the fourth quarter of 2025.</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operating margin from the Morgan’s Point and Neches River Terminals increased $6 million primarily due to an increase in ethane export volumes. The first phase of the Neches River Terminal was placed in service in July 2025.</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operating margin from LPG-related activities at the Enterprise Hydrocarbons Terminal (“EHT”) decreased $42 million primarily due to lower average loading fees largely due to the recontracting of a legacy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operating margin from the NGL fractionation business was $256 million for the first quarter of 2026 compared to $214 million for the first quarter of 2025. Total NGL fractionation volumes were a record 1.9 MMBPD for the first quarter of 2026 compared to 1.7 MMBPD for the first quarter of 2025. The following highlight summarizes selected variances within this business, with results for the first quarter of 2026 as compared to the first quarter of 2025:</w:t>
      </w:r>
    </w:p>
    <w:p>
      <w:pPr>
        <w:spacing w:after="0" w:line="180" w:lineRule="exact"/>
        <w:rPr>
          <w:sz w:val="20"/>
          <w:szCs w:val="20"/>
          <w:color w:val="auto"/>
        </w:rPr>
      </w:pPr>
    </w:p>
    <w:p>
      <w:pPr>
        <w:jc w:val="both"/>
        <w:ind w:left="980" w:hanging="324"/>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operating margin from our Mont Belvieu area NGL fractionation complex increased $33 million primarily due to higher average fractionation fees and higher volumes partially offset by higher operating costs. The higher fractionation volumes were primarily due to Frac 14 which was placed into service in the fourth quarter of 2025.</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Crude Oil Pipelines &amp; Services </w:t>
      </w:r>
      <w:r>
        <w:rPr>
          <w:rFonts w:ascii="Times New Roman" w:cs="Times New Roman" w:eastAsia="Times New Roman" w:hAnsi="Times New Roman"/>
          <w:sz w:val="18"/>
          <w:szCs w:val="18"/>
          <w:color w:val="auto"/>
        </w:rPr>
        <w:t>– Gross operating margin from the Crude Oil Pipelines &amp; Services segment was $329 million for the first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2026 compared to $374 million for the first quarter of 2025. Total crude oil pipeline volumes were a record 2.6 MMBPD in the first quarter of 2026, a 165 MBPD increase compared to the first quarter of 2025. Total crude oil marine terminal volumes were 866 MBPD in the first quarter of 2026 compared to 736 MBPD in the first quarter of 2025. The following highlight summarizes selected variances within this segment, with results for the first quarter of 2026 as compared to the first quarter of 2025:</w:t>
      </w:r>
    </w:p>
    <w:p>
      <w:pPr>
        <w:spacing w:after="0" w:line="183" w:lineRule="exact"/>
        <w:rPr>
          <w:sz w:val="20"/>
          <w:szCs w:val="20"/>
          <w:color w:val="auto"/>
        </w:rPr>
      </w:pPr>
    </w:p>
    <w:p>
      <w:pPr>
        <w:ind w:left="98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combined basis, gross operating margin from our crude oil assets and crude oil marketing decreased a net $45 million primarily due to lower average sales margins and lower transportation-related revenues, partially offset by higher other revenues at EHT.</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Natural Gas Pipelines &amp; Services </w:t>
      </w:r>
      <w:r>
        <w:rPr>
          <w:rFonts w:ascii="Times New Roman" w:cs="Times New Roman" w:eastAsia="Times New Roman" w:hAnsi="Times New Roman"/>
          <w:sz w:val="18"/>
          <w:szCs w:val="18"/>
          <w:color w:val="auto"/>
        </w:rPr>
        <w:t>– Gross operating margin for the Natural Gas Pipelines &amp; Services segment was $496 million for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2026 compared to $357 million for the first quarter of 2025. Total natural gas pipeline volumes were a record 21.2 TBtus/d in the first quarter of 2026, a 4 percent increase compared to 20.3 TBtus/d for the same quarter in 2025. The following highlights summarize selected variances within this segment, with results for the first quarter of 2026 as compared to the first quarter of 2025:</w:t>
      </w:r>
    </w:p>
    <w:p>
      <w:pPr>
        <w:spacing w:after="0" w:line="180"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marketing gross operating margin increased $111 million due to higher average sales margins.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Intrastate System gross operating margin increased $15 million primarily due to higher capacity reservation fees and other revenues and higher transportation volumes.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combined basis, gross operating margin from our Acadian Gas System and Haynesville Gathering System increased $8 million primarily due to higher transportation volumes.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985" w:right="339" w:bottom="1440" w:gutter="0" w:footer="0" w:header="0"/>
        </w:sectPr>
      </w:pPr>
    </w:p>
    <w:bookmarkStart w:id="6" w:name="page7"/>
    <w:bookmarkEnd w:id="6"/>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Petrochemical &amp; Refined Products Services </w:t>
      </w:r>
      <w:r>
        <w:rPr>
          <w:rFonts w:ascii="Times New Roman" w:cs="Times New Roman" w:eastAsia="Times New Roman" w:hAnsi="Times New Roman"/>
          <w:sz w:val="18"/>
          <w:szCs w:val="18"/>
          <w:color w:val="auto"/>
        </w:rPr>
        <w:t>– Gross operating margin for the Petrochemical &amp; Refined Products Services segment was $314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first quarter of 2026 compared to $315 million for the first quarter of 2025. Total segment pipeline volumes were 1.1 MMBPD in the first quarter of 2026 compared to 949 MBPD in the first quarter of 2025. Total marine terminal volumes were 383 MBPD in the first quarter of 2026 compared to 311 MBPD for the first quarter of 2025. The following highlights summarize selected variances within this segment, with results for the first quarter of 2026 as compared to the first quarter of 2025:</w:t>
      </w:r>
    </w:p>
    <w:p>
      <w:pPr>
        <w:spacing w:after="0" w:line="183" w:lineRule="exact"/>
        <w:rPr>
          <w:sz w:val="20"/>
          <w:szCs w:val="20"/>
          <w:color w:val="auto"/>
        </w:rPr>
      </w:pPr>
    </w:p>
    <w:p>
      <w:pPr>
        <w:ind w:left="98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Propylene production and related activities reported a $67 million increase in gross operating margin primarily due to higher propylene sales volumes and higher average sales margins.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operating margin from our octane enhancement and related plant operations decreased $46 million primarily due primarily to a planned turnaround at the Octane Enhancement facility. This facility resumed partial operations earlier this month and is expected to resume full rates in May.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press release and accompanying schedules include the non-GAAP financial measures of total gross operating margin, Adjusted CFFO, Adjusted FCF, DCF, Operational DCF and Adjusted EBITDA. The accompanying schedules provide definitions of these non-GAAP financial measures and reconciliations to their most directly comparable financial measure calculated and presented in accordance with GAAP. Our non-GAAP financial measures should not be considered as alternatives to GAAP measures such as net income, operating income, net cash flow provided by operating activities or any other measure of financial performance calculated and presented in accordance with GAAP. Our non-GAAP financial measures may not be comparable to similarly titled measures of other companies because they may not calculate such measures in the same manner as we do.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Information and Use of 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Enterprise Products Partners L.P. is one of the largest publicly traded partnerships and a leading North American provider of midstream energy services to producers and consumers of natural gas, NGLs, crude oil, refined products and petrochemicals. Services include: natural gas gathering, treating, processing, transportation and storage; NGL transportation, fractionation, storage and marine terminals; crude oil gathering, transportation, storage and marine terminals; petrochemical and refined products transportation, storage and marine terminals; and a marine transportation business that operates on key U.S. inland and intracoastal waterway systems. The partnership’s assets currently include more than 50,000 miles of pipelines; over 300 million barrels of storage capacity for NGLs, crude oil, petrochemicals and refined products; and 14 billion cubic feet of natural gas storage capacity.</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press release includes forward-looking statements. Except for the historical information contained herein, the matters discussed in this press release are forward-looking statements that involve certain risks and uncertainties, such as the partnership’s expectations regarding future results, capital expenditures, project completions, liquidity and financial market conditions. These risks and uncertainties include, among other things, insufficient cash from operations, adverse market conditions, governmental regulations and other factors discussed in Enterprise’s filings with the U.S. Securities and Exchange Commission. If any of these risks or uncertainties materialize, or should underlying assumptions prove incorrect, actual results or outcomes may vary materially from those expected. The partnership disclaims any intention or obligation to update publicly or reverse such statements, whether as a result of new information, future events or otherwise.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Contacts: Joe Theriac, Vice President, Finance &amp; Investor Relations, (713) 381-6394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Rick Rainey, Vice President, Media Relations, (713) 381-3635</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98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08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Enterprise Products Partners L.P.</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Operations – UNAUDITED</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80" w:type="dxa"/>
            <w:vAlign w:val="bottom"/>
            <w:gridSpan w:val="13"/>
          </w:tcPr>
          <w:p>
            <w:pPr>
              <w:spacing w:after="0"/>
              <w:rPr>
                <w:sz w:val="20"/>
                <w:szCs w:val="20"/>
                <w:color w:val="auto"/>
              </w:rPr>
            </w:pPr>
            <w:r>
              <w:rPr>
                <w:rFonts w:ascii="Times New Roman" w:cs="Times New Roman" w:eastAsia="Times New Roman" w:hAnsi="Times New Roman"/>
                <w:sz w:val="14"/>
                <w:szCs w:val="14"/>
                <w:i w:val="1"/>
                <w:iCs w:val="1"/>
                <w:color w:val="auto"/>
              </w:rPr>
              <w:t>($ in millions, except per unit amounts)</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For the Twelve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24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4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1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1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7080" w:type="dxa"/>
            <w:vAlign w:val="bottom"/>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Revenues</w:t>
            </w:r>
          </w:p>
        </w:tc>
        <w:tc>
          <w:tcPr>
            <w:tcW w:w="800" w:type="dxa"/>
            <w:vAlign w:val="bottom"/>
            <w:shd w:val="clear" w:color="auto" w:fill="CCEEFF"/>
          </w:tcPr>
          <w:p>
            <w:pPr>
              <w:jc w:val="right"/>
              <w:ind w:right="6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14,386</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15,417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51,565</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1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080" w:type="dxa"/>
            <w:vAlign w:val="bottom"/>
            <w:tcBorders>
              <w:bottom w:val="single" w:sz="8" w:color="CCEEFF"/>
            </w:tcBorders>
            <w:gridSpan w:val="1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12,503</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13,690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80" w:type="dxa"/>
            <w:vAlign w:val="bottom"/>
            <w:gridSpan w:val="13"/>
          </w:tcPr>
          <w:p>
            <w:pPr>
              <w:ind w:left="340"/>
              <w:spacing w:after="0"/>
              <w:rPr>
                <w:sz w:val="20"/>
                <w:szCs w:val="20"/>
                <w:color w:val="auto"/>
              </w:rPr>
            </w:pPr>
            <w:r>
              <w:rPr>
                <w:rFonts w:ascii="Times New Roman" w:cs="Times New Roman" w:eastAsia="Times New Roman" w:hAnsi="Times New Roman"/>
                <w:sz w:val="14"/>
                <w:szCs w:val="14"/>
                <w:color w:val="auto"/>
              </w:rPr>
              <w:t>General and administrative costs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1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7080" w:type="dxa"/>
            <w:vAlign w:val="bottom"/>
            <w:tcBorders>
              <w:bottom w:val="single" w:sz="8" w:color="CCEEFF"/>
            </w:tcBorders>
            <w:gridSpan w:val="1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12,567</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13,750</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560" w:type="dxa"/>
            <w:vAlign w:val="bottom"/>
            <w:tcBorders>
              <w:top w:val="single" w:sz="8" w:color="auto"/>
              <w:bottom w:val="single" w:sz="8" w:color="CCEEFF"/>
            </w:tcBorders>
          </w:tcPr>
          <w:p>
            <w:pPr>
              <w:spacing w:after="0"/>
              <w:rPr>
                <w:sz w:val="4"/>
                <w:szCs w:val="4"/>
                <w:color w:val="auto"/>
              </w:rPr>
            </w:pPr>
          </w:p>
        </w:tc>
        <w:tc>
          <w:tcPr>
            <w:tcW w:w="12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120" w:type="dxa"/>
            <w:vAlign w:val="bottom"/>
            <w:tcBorders>
              <w:top w:val="single" w:sz="8" w:color="auto"/>
              <w:bottom w:val="single" w:sz="8" w:color="CCEEFF"/>
            </w:tcBorders>
          </w:tcPr>
          <w:p>
            <w:pPr>
              <w:spacing w:after="0"/>
              <w:rPr>
                <w:sz w:val="4"/>
                <w:szCs w:val="4"/>
                <w:color w:val="auto"/>
              </w:rPr>
            </w:pPr>
          </w:p>
        </w:tc>
        <w:tc>
          <w:tcPr>
            <w:tcW w:w="260" w:type="dxa"/>
            <w:vAlign w:val="bottom"/>
            <w:tcBorders>
              <w:top w:val="single" w:sz="8" w:color="auto"/>
              <w:bottom w:val="single" w:sz="8" w:color="CCEEFF"/>
            </w:tcBorders>
          </w:tcPr>
          <w:p>
            <w:pPr>
              <w:spacing w:after="0"/>
              <w:rPr>
                <w:sz w:val="4"/>
                <w:szCs w:val="4"/>
                <w:color w:val="auto"/>
              </w:rPr>
            </w:pPr>
          </w:p>
        </w:tc>
        <w:tc>
          <w:tcPr>
            <w:tcW w:w="22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500" w:type="dxa"/>
            <w:vAlign w:val="bottom"/>
            <w:tcBorders>
              <w:top w:val="single" w:sz="8" w:color="auto"/>
              <w:bottom w:val="single" w:sz="8" w:color="CCEEFF"/>
            </w:tcBorders>
          </w:tcPr>
          <w:p>
            <w:pPr>
              <w:spacing w:after="0"/>
              <w:rPr>
                <w:sz w:val="4"/>
                <w:szCs w:val="4"/>
                <w:color w:val="auto"/>
              </w:rPr>
            </w:pPr>
          </w:p>
        </w:tc>
        <w:tc>
          <w:tcPr>
            <w:tcW w:w="240" w:type="dxa"/>
            <w:vAlign w:val="bottom"/>
            <w:tcBorders>
              <w:top w:val="single" w:sz="8" w:color="auto"/>
              <w:bottom w:val="single" w:sz="8" w:color="CCEEFF"/>
            </w:tcBorders>
          </w:tcPr>
          <w:p>
            <w:pPr>
              <w:spacing w:after="0"/>
              <w:rPr>
                <w:sz w:val="4"/>
                <w:szCs w:val="4"/>
                <w:color w:val="auto"/>
              </w:rPr>
            </w:pPr>
          </w:p>
        </w:tc>
        <w:tc>
          <w:tcPr>
            <w:tcW w:w="200" w:type="dxa"/>
            <w:vAlign w:val="bottom"/>
            <w:tcBorders>
              <w:top w:val="single" w:sz="8" w:color="auto"/>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1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7080" w:type="dxa"/>
            <w:vAlign w:val="bottom"/>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Operating income</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1,895</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1,761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7,400</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1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080" w:type="dxa"/>
            <w:vAlign w:val="bottom"/>
            <w:tcBorders>
              <w:bottom w:val="single" w:sz="8" w:color="CCEEFF"/>
            </w:tcBorders>
            <w:gridSpan w:val="1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80" w:type="dxa"/>
            <w:vAlign w:val="bottom"/>
            <w:gridSpan w:val="13"/>
          </w:tcPr>
          <w:p>
            <w:pPr>
              <w:ind w:left="340"/>
              <w:spacing w:after="0"/>
              <w:rPr>
                <w:sz w:val="20"/>
                <w:szCs w:val="20"/>
                <w:color w:val="auto"/>
              </w:rPr>
            </w:pPr>
            <w:r>
              <w:rPr>
                <w:rFonts w:ascii="Times New Roman" w:cs="Times New Roman" w:eastAsia="Times New Roman" w:hAnsi="Times New Roman"/>
                <w:sz w:val="14"/>
                <w:szCs w:val="14"/>
                <w:color w:val="auto"/>
              </w:rPr>
              <w:t>Other, net</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1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7080" w:type="dxa"/>
            <w:vAlign w:val="bottom"/>
            <w:tcBorders>
              <w:bottom w:val="single" w:sz="8" w:color="CCEEFF"/>
            </w:tcBorders>
            <w:gridSpan w:val="1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other expense, net</w:t>
            </w: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80" w:type="dxa"/>
            <w:vAlign w:val="bottom"/>
            <w:gridSpan w:val="13"/>
          </w:tcPr>
          <w:p>
            <w:pPr>
              <w:spacing w:after="0" w:line="155" w:lineRule="exact"/>
              <w:rPr>
                <w:sz w:val="20"/>
                <w:szCs w:val="20"/>
                <w:color w:val="auto"/>
              </w:rPr>
            </w:pPr>
            <w:r>
              <w:rPr>
                <w:rFonts w:ascii="Times New Roman" w:cs="Times New Roman" w:eastAsia="Times New Roman" w:hAnsi="Times New Roman"/>
                <w:sz w:val="14"/>
                <w:szCs w:val="14"/>
                <w:color w:val="auto"/>
              </w:rPr>
              <w:t>Income before income taxes</w:t>
            </w:r>
          </w:p>
        </w:tc>
        <w:tc>
          <w:tcPr>
            <w:tcW w:w="8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1,518</w:t>
            </w:r>
          </w:p>
        </w:tc>
        <w:tc>
          <w:tcPr>
            <w:tcW w:w="1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1,430</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5,987</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7080" w:type="dxa"/>
            <w:vAlign w:val="bottom"/>
            <w:tcBorders>
              <w:bottom w:val="single" w:sz="8" w:color="CCEEFF"/>
            </w:tcBorders>
            <w:gridSpan w:val="1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80" w:type="dxa"/>
            <w:vAlign w:val="bottom"/>
            <w:gridSpan w:val="13"/>
          </w:tcPr>
          <w:p>
            <w:pPr>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1,496</w:t>
            </w:r>
          </w:p>
        </w:tc>
        <w:tc>
          <w:tcPr>
            <w:tcW w:w="1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1,406</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5,966</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auto"/>
            </w:tcBorders>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4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Net income attributable to preferred units</w:t>
            </w: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560" w:type="dxa"/>
            <w:vAlign w:val="bottom"/>
            <w:tcBorders>
              <w:top w:val="single" w:sz="8" w:color="auto"/>
              <w:bottom w:val="single" w:sz="8" w:color="CCEEFF"/>
            </w:tcBorders>
          </w:tcPr>
          <w:p>
            <w:pPr>
              <w:spacing w:after="0"/>
              <w:rPr>
                <w:sz w:val="4"/>
                <w:szCs w:val="4"/>
                <w:color w:val="auto"/>
              </w:rPr>
            </w:pPr>
          </w:p>
        </w:tc>
        <w:tc>
          <w:tcPr>
            <w:tcW w:w="12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120" w:type="dxa"/>
            <w:vAlign w:val="bottom"/>
            <w:tcBorders>
              <w:top w:val="single" w:sz="8" w:color="auto"/>
              <w:bottom w:val="single" w:sz="8" w:color="CCEEFF"/>
            </w:tcBorders>
          </w:tcPr>
          <w:p>
            <w:pPr>
              <w:spacing w:after="0"/>
              <w:rPr>
                <w:sz w:val="4"/>
                <w:szCs w:val="4"/>
                <w:color w:val="auto"/>
              </w:rPr>
            </w:pPr>
          </w:p>
        </w:tc>
        <w:tc>
          <w:tcPr>
            <w:tcW w:w="260" w:type="dxa"/>
            <w:vAlign w:val="bottom"/>
            <w:tcBorders>
              <w:top w:val="single" w:sz="8" w:color="auto"/>
              <w:bottom w:val="single" w:sz="8" w:color="CCEEFF"/>
            </w:tcBorders>
          </w:tcPr>
          <w:p>
            <w:pPr>
              <w:spacing w:after="0"/>
              <w:rPr>
                <w:sz w:val="4"/>
                <w:szCs w:val="4"/>
                <w:color w:val="auto"/>
              </w:rPr>
            </w:pPr>
          </w:p>
        </w:tc>
        <w:tc>
          <w:tcPr>
            <w:tcW w:w="22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500" w:type="dxa"/>
            <w:vAlign w:val="bottom"/>
            <w:tcBorders>
              <w:top w:val="single" w:sz="8" w:color="auto"/>
              <w:bottom w:val="single" w:sz="8" w:color="CCEEFF"/>
            </w:tcBorders>
          </w:tcPr>
          <w:p>
            <w:pPr>
              <w:spacing w:after="0"/>
              <w:rPr>
                <w:sz w:val="4"/>
                <w:szCs w:val="4"/>
                <w:color w:val="auto"/>
              </w:rPr>
            </w:pPr>
          </w:p>
        </w:tc>
        <w:tc>
          <w:tcPr>
            <w:tcW w:w="240" w:type="dxa"/>
            <w:vAlign w:val="bottom"/>
            <w:tcBorders>
              <w:top w:val="single" w:sz="8" w:color="auto"/>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1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auto"/>
            </w:tcBorders>
            <w:gridSpan w:val="11"/>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common unitholders</w:t>
            </w:r>
          </w:p>
        </w:tc>
        <w:tc>
          <w:tcPr>
            <w:tcW w:w="4340" w:type="dxa"/>
            <w:vAlign w:val="bottom"/>
            <w:tcBorders>
              <w:bottom w:val="single" w:sz="8" w:color="CCEEFF"/>
            </w:tcBorders>
            <w:gridSpan w:val="2"/>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gridSpan w:val="13"/>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Per common unit data (fully diluted):</w:t>
            </w: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7080" w:type="dxa"/>
            <w:vAlign w:val="bottom"/>
            <w:gridSpan w:val="13"/>
            <w:vMerge w:val="continue"/>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1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Earnings per common unit</w:t>
            </w:r>
          </w:p>
        </w:tc>
        <w:tc>
          <w:tcPr>
            <w:tcW w:w="80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13"/>
          </w:tcPr>
          <w:p>
            <w:pPr>
              <w:ind w:left="340"/>
              <w:spacing w:after="0"/>
              <w:rPr>
                <w:sz w:val="20"/>
                <w:szCs w:val="20"/>
                <w:color w:val="auto"/>
              </w:rPr>
            </w:pPr>
            <w:r>
              <w:rPr>
                <w:rFonts w:ascii="Times New Roman" w:cs="Times New Roman" w:eastAsia="Times New Roman" w:hAnsi="Times New Roman"/>
                <w:sz w:val="14"/>
                <w:szCs w:val="14"/>
                <w:color w:val="auto"/>
              </w:rPr>
              <w:t>Average common units outstanding (in millions)</w:t>
            </w:r>
          </w:p>
        </w:tc>
        <w:tc>
          <w:tcPr>
            <w:tcW w:w="8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1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Supplemental financial data:</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1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flow provided by operating activities</w:t>
            </w:r>
          </w:p>
        </w:tc>
        <w:tc>
          <w:tcPr>
            <w:tcW w:w="80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gridSpan w:val="13"/>
          </w:tcPr>
          <w:p>
            <w:pPr>
              <w:ind w:left="340"/>
              <w:spacing w:after="0"/>
              <w:rPr>
                <w:sz w:val="20"/>
                <w:szCs w:val="20"/>
                <w:color w:val="auto"/>
              </w:rPr>
            </w:pPr>
            <w:r>
              <w:rPr>
                <w:rFonts w:ascii="Times New Roman" w:cs="Times New Roman" w:eastAsia="Times New Roman" w:hAnsi="Times New Roman"/>
                <w:sz w:val="14"/>
                <w:szCs w:val="14"/>
                <w:color w:val="auto"/>
              </w:rPr>
              <w:t>Net cash flow used in investing activities</w:t>
            </w:r>
          </w:p>
        </w:tc>
        <w:tc>
          <w:tcPr>
            <w:tcW w:w="80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1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flow used in financing activities</w:t>
            </w:r>
          </w:p>
        </w:tc>
        <w:tc>
          <w:tcPr>
            <w:tcW w:w="80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gridSpan w:val="13"/>
          </w:tcPr>
          <w:p>
            <w:pPr>
              <w:ind w:left="340"/>
              <w:spacing w:after="0"/>
              <w:rPr>
                <w:sz w:val="20"/>
                <w:szCs w:val="20"/>
                <w:color w:val="auto"/>
              </w:rPr>
            </w:pPr>
            <w:r>
              <w:rPr>
                <w:rFonts w:ascii="Times New Roman" w:cs="Times New Roman" w:eastAsia="Times New Roman" w:hAnsi="Times New Roman"/>
                <w:sz w:val="14"/>
                <w:szCs w:val="14"/>
                <w:color w:val="auto"/>
              </w:rPr>
              <w:t>Total debt principal outstanding at end of period</w:t>
            </w:r>
          </w:p>
        </w:tc>
        <w:tc>
          <w:tcPr>
            <w:tcW w:w="80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34,222</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31,887</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gridSpan w:val="13"/>
          </w:tcPr>
          <w:p>
            <w:pPr>
              <w:ind w:left="340"/>
              <w:spacing w:after="0"/>
              <w:rPr>
                <w:sz w:val="20"/>
                <w:szCs w:val="20"/>
                <w:color w:val="auto"/>
              </w:rPr>
            </w:pPr>
            <w:r>
              <w:rPr>
                <w:rFonts w:ascii="Times New Roman" w:cs="Times New Roman" w:eastAsia="Times New Roman" w:hAnsi="Times New Roman"/>
                <w:sz w:val="14"/>
                <w:szCs w:val="14"/>
                <w:color w:val="auto"/>
              </w:rPr>
              <w:t xml:space="preserve">Non-GAAP Distributable Cash Flow </w:t>
            </w:r>
            <w:r>
              <w:rPr>
                <w:rFonts w:ascii="Times New Roman" w:cs="Times New Roman" w:eastAsia="Times New Roman" w:hAnsi="Times New Roman"/>
                <w:sz w:val="18"/>
                <w:szCs w:val="18"/>
                <w:color w:val="auto"/>
                <w:vertAlign w:val="superscript"/>
              </w:rPr>
              <w:t>(1)</w:t>
            </w:r>
          </w:p>
        </w:tc>
        <w:tc>
          <w:tcPr>
            <w:tcW w:w="80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1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xml:space="preserve">Non-GAAP Operational Distributable Cash Flow </w:t>
            </w:r>
            <w:r>
              <w:rPr>
                <w:rFonts w:ascii="Times New Roman" w:cs="Times New Roman" w:eastAsia="Times New Roman" w:hAnsi="Times New Roman"/>
                <w:sz w:val="18"/>
                <w:szCs w:val="18"/>
                <w:color w:val="auto"/>
                <w:vertAlign w:val="superscript"/>
              </w:rPr>
              <w:t>(1)</w:t>
            </w:r>
          </w:p>
        </w:tc>
        <w:tc>
          <w:tcPr>
            <w:tcW w:w="80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13"/>
          </w:tcPr>
          <w:p>
            <w:pPr>
              <w:ind w:left="340"/>
              <w:spacing w:after="0" w:line="203" w:lineRule="exact"/>
              <w:rPr>
                <w:sz w:val="20"/>
                <w:szCs w:val="20"/>
                <w:color w:val="auto"/>
              </w:rPr>
            </w:pPr>
            <w:r>
              <w:rPr>
                <w:rFonts w:ascii="Times New Roman" w:cs="Times New Roman" w:eastAsia="Times New Roman" w:hAnsi="Times New Roman"/>
                <w:sz w:val="14"/>
                <w:szCs w:val="14"/>
                <w:color w:val="auto"/>
              </w:rPr>
              <w:t xml:space="preserve">Non-GAAP Adjusted EBITDA </w:t>
            </w:r>
            <w:r>
              <w:rPr>
                <w:rFonts w:ascii="Times New Roman" w:cs="Times New Roman" w:eastAsia="Times New Roman" w:hAnsi="Times New Roman"/>
                <w:sz w:val="18"/>
                <w:szCs w:val="18"/>
                <w:color w:val="auto"/>
                <w:vertAlign w:val="superscript"/>
              </w:rPr>
              <w:t>(2)</w:t>
            </w:r>
          </w:p>
        </w:tc>
        <w:tc>
          <w:tcPr>
            <w:tcW w:w="80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7080" w:type="dxa"/>
            <w:vAlign w:val="bottom"/>
            <w:tcBorders>
              <w:bottom w:val="single" w:sz="8" w:color="CCEEFF"/>
            </w:tcBorders>
            <w:gridSpan w:val="13"/>
            <w:shd w:val="clear" w:color="auto" w:fill="CCEEFF"/>
          </w:tcPr>
          <w:p>
            <w:pPr>
              <w:ind w:left="340"/>
              <w:spacing w:after="0" w:line="196" w:lineRule="exact"/>
              <w:rPr>
                <w:sz w:val="20"/>
                <w:szCs w:val="20"/>
                <w:color w:val="auto"/>
              </w:rPr>
            </w:pPr>
            <w:r>
              <w:rPr>
                <w:rFonts w:ascii="Times New Roman" w:cs="Times New Roman" w:eastAsia="Times New Roman" w:hAnsi="Times New Roman"/>
                <w:sz w:val="14"/>
                <w:szCs w:val="14"/>
                <w:color w:val="auto"/>
              </w:rPr>
              <w:t xml:space="preserve">Non-GAAP Adjusted Cash flow from operations </w:t>
            </w:r>
            <w:r>
              <w:rPr>
                <w:rFonts w:ascii="Times New Roman" w:cs="Times New Roman" w:eastAsia="Times New Roman" w:hAnsi="Times New Roman"/>
                <w:sz w:val="18"/>
                <w:szCs w:val="18"/>
                <w:color w:val="auto"/>
                <w:vertAlign w:val="superscript"/>
              </w:rPr>
              <w:t>(3)</w:t>
            </w:r>
          </w:p>
        </w:tc>
        <w:tc>
          <w:tcPr>
            <w:tcW w:w="80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13"/>
          </w:tcPr>
          <w:p>
            <w:pPr>
              <w:ind w:left="340"/>
              <w:spacing w:after="0" w:line="203" w:lineRule="exact"/>
              <w:rPr>
                <w:sz w:val="20"/>
                <w:szCs w:val="20"/>
                <w:color w:val="auto"/>
              </w:rPr>
            </w:pPr>
            <w:r>
              <w:rPr>
                <w:rFonts w:ascii="Times New Roman" w:cs="Times New Roman" w:eastAsia="Times New Roman" w:hAnsi="Times New Roman"/>
                <w:sz w:val="14"/>
                <w:szCs w:val="14"/>
                <w:color w:val="auto"/>
              </w:rPr>
              <w:t xml:space="preserve">Non-GAAP Adjusted Free Cash Flow </w:t>
            </w:r>
            <w:r>
              <w:rPr>
                <w:rFonts w:ascii="Times New Roman" w:cs="Times New Roman" w:eastAsia="Times New Roman" w:hAnsi="Times New Roman"/>
                <w:sz w:val="18"/>
                <w:szCs w:val="18"/>
                <w:color w:val="auto"/>
                <w:vertAlign w:val="superscript"/>
              </w:rPr>
              <w:t>(3)</w:t>
            </w:r>
          </w:p>
        </w:tc>
        <w:tc>
          <w:tcPr>
            <w:tcW w:w="80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7080" w:type="dxa"/>
            <w:vAlign w:val="bottom"/>
            <w:tcBorders>
              <w:bottom w:val="single" w:sz="8" w:color="CCEEFF"/>
            </w:tcBorders>
            <w:gridSpan w:val="13"/>
            <w:shd w:val="clear" w:color="auto" w:fill="CCEEFF"/>
          </w:tcPr>
          <w:p>
            <w:pPr>
              <w:ind w:left="340"/>
              <w:spacing w:after="0" w:line="159" w:lineRule="exact"/>
              <w:rPr>
                <w:sz w:val="20"/>
                <w:szCs w:val="20"/>
                <w:color w:val="auto"/>
              </w:rPr>
            </w:pPr>
            <w:r>
              <w:rPr>
                <w:rFonts w:ascii="Times New Roman" w:cs="Times New Roman" w:eastAsia="Times New Roman" w:hAnsi="Times New Roman"/>
                <w:sz w:val="14"/>
                <w:szCs w:val="14"/>
                <w:color w:val="auto"/>
              </w:rPr>
              <w:t>Gross operating margin by segment:</w:t>
            </w: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80" w:type="dxa"/>
            <w:vAlign w:val="bottom"/>
            <w:gridSpan w:val="13"/>
          </w:tcPr>
          <w:p>
            <w:pPr>
              <w:ind w:left="500"/>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8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40" w:type="dxa"/>
            <w:vAlign w:val="bottom"/>
          </w:tcPr>
          <w:p>
            <w:pPr>
              <w:spacing w:after="0"/>
              <w:rPr>
                <w:sz w:val="16"/>
                <w:szCs w:val="16"/>
                <w:color w:val="auto"/>
              </w:rPr>
            </w:pP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080" w:type="dxa"/>
            <w:vAlign w:val="bottom"/>
            <w:tcBorders>
              <w:bottom w:val="single" w:sz="8" w:color="CCEEFF"/>
            </w:tcBorders>
            <w:gridSpan w:val="1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80" w:type="dxa"/>
            <w:vAlign w:val="bottom"/>
            <w:gridSpan w:val="13"/>
          </w:tcPr>
          <w:p>
            <w:pPr>
              <w:ind w:left="500"/>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7080" w:type="dxa"/>
            <w:vAlign w:val="bottom"/>
            <w:tcBorders>
              <w:bottom w:val="single" w:sz="8" w:color="CCEEFF"/>
            </w:tcBorders>
            <w:gridSpan w:val="1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52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 xml:space="preserve">Total segment gross operating margin </w:t>
            </w:r>
            <w:r>
              <w:rPr>
                <w:rFonts w:ascii="Times New Roman" w:cs="Times New Roman" w:eastAsia="Times New Roman" w:hAnsi="Times New Roman"/>
                <w:sz w:val="18"/>
                <w:szCs w:val="18"/>
                <w:color w:val="auto"/>
                <w:vertAlign w:val="superscript"/>
              </w:rPr>
              <w:t>(4)</w:t>
            </w:r>
          </w:p>
        </w:tc>
        <w:tc>
          <w:tcPr>
            <w:tcW w:w="8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1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52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Net adjustment for shipper make-up rights </w:t>
            </w:r>
            <w:r>
              <w:rPr>
                <w:rFonts w:ascii="Times New Roman" w:cs="Times New Roman" w:eastAsia="Times New Roman" w:hAnsi="Times New Roman"/>
                <w:sz w:val="18"/>
                <w:szCs w:val="18"/>
                <w:color w:val="auto"/>
                <w:vertAlign w:val="superscript"/>
              </w:rPr>
              <w:t>(5)</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52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 xml:space="preserve">Non-GAAP total gross operating margin </w:t>
            </w:r>
            <w:r>
              <w:rPr>
                <w:rFonts w:ascii="Times New Roman" w:cs="Times New Roman" w:eastAsia="Times New Roman" w:hAnsi="Times New Roman"/>
                <w:sz w:val="18"/>
                <w:szCs w:val="18"/>
                <w:color w:val="auto"/>
                <w:vertAlign w:val="superscript"/>
              </w:rPr>
              <w:t>(6)</w:t>
            </w:r>
          </w:p>
        </w:tc>
        <w:tc>
          <w:tcPr>
            <w:tcW w:w="80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2,431</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Exhibit E for reconciliation to GAAP net cash flow provided by operating activities.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Exhibit F for reconciliation to GAAP net cash flow provided by operating activities.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Exhibit D for reconciliation to GAAP net cash flow provided by operating activities.</w:t>
      </w:r>
    </w:p>
    <w:p>
      <w:pPr>
        <w:spacing w:after="0" w:line="14" w:lineRule="exact"/>
        <w:rPr>
          <w:rFonts w:ascii="Times New Roman" w:cs="Times New Roman" w:eastAsia="Times New Roman" w:hAnsi="Times New Roman"/>
          <w:sz w:val="14"/>
          <w:szCs w:val="14"/>
          <w:color w:val="auto"/>
        </w:rPr>
      </w:pPr>
    </w:p>
    <w:p>
      <w:pPr>
        <w:ind w:left="340" w:hanging="332"/>
        <w:spacing w:after="0" w:line="254"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the context of this table, total segment gross operating margin represents a subtotal and corresponds to measures similarly titled within the financial statement footnotes provided in our quarterly and annual filings with the U.S. Securities and Exchange Commission (“SEC”).</w:t>
      </w:r>
    </w:p>
    <w:p>
      <w:pPr>
        <w:jc w:val="both"/>
        <w:ind w:left="340" w:hanging="332"/>
        <w:spacing w:after="0" w:line="260"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operating margin by segment for NGL Pipelines &amp; Services and Crude Oil Pipelines &amp; Services reflects adjustments for non-refundable deferred transportation revenues relating to the make-up rights of committed shippers on certain major pipeline projects. These adjustments are included in managements’ evaluation of segment results. However, these adjustments are excluded from non-GAAP total gross operating margin in compliance with guidance from the SEC.</w:t>
      </w: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Exhibit G for reconciliation to GAAP total operating income.</w:t>
      </w:r>
    </w:p>
    <w:p>
      <w:pPr>
        <w:sectPr>
          <w:pgSz w:w="11900" w:h="16838" w:orient="portrait"/>
          <w:cols w:equalWidth="0" w:num="1">
            <w:col w:w="11240"/>
          </w:cols>
          <w:pgMar w:left="320" w:top="1033"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033"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Enterprise Products Partners L.P.</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B</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Selected Operating Data – UNAUDITED</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Twelve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260" w:type="dxa"/>
            <w:vAlign w:val="bottom"/>
            <w:gridSpan w:val="4"/>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74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186"/>
        </w:trPr>
        <w:tc>
          <w:tcPr>
            <w:tcW w:w="7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80" w:type="dxa"/>
            <w:vAlign w:val="bottom"/>
            <w:gridSpan w:val="2"/>
            <w:vMerge w:val="restart"/>
          </w:tcPr>
          <w:p>
            <w:pPr>
              <w:spacing w:after="0" w:line="199" w:lineRule="exact"/>
              <w:rPr>
                <w:sz w:val="20"/>
                <w:szCs w:val="20"/>
                <w:color w:val="auto"/>
              </w:rPr>
            </w:pPr>
            <w:r>
              <w:rPr>
                <w:rFonts w:ascii="Times New Roman" w:cs="Times New Roman" w:eastAsia="Times New Roman" w:hAnsi="Times New Roman"/>
                <w:sz w:val="14"/>
                <w:szCs w:val="14"/>
                <w:color w:val="auto"/>
              </w:rPr>
              <w:t>Selected operating data:</w:t>
            </w:r>
            <w:r>
              <w:rPr>
                <w:rFonts w:ascii="Times New Roman" w:cs="Times New Roman" w:eastAsia="Times New Roman" w:hAnsi="Times New Roman"/>
                <w:sz w:val="18"/>
                <w:szCs w:val="18"/>
                <w:color w:val="auto"/>
                <w:vertAlign w:val="superscript"/>
              </w:rPr>
              <w:t>(1)</w:t>
            </w: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7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NGL Pipelines &amp; Services, net:</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8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NGL pipeline transportation volumes (MBPD)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4,881</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NGL marine terminal volumes (MBPD)</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8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NGL fractionation volumes (MBPD)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 xml:space="preserve">Equity NGL-equivalent production volumes (MBPD) </w:t>
            </w:r>
            <w:r>
              <w:rPr>
                <w:rFonts w:ascii="Times New Roman" w:cs="Times New Roman" w:eastAsia="Times New Roman" w:hAnsi="Times New Roman"/>
                <w:sz w:val="18"/>
                <w:szCs w:val="18"/>
                <w:color w:val="auto"/>
                <w:vertAlign w:val="superscript"/>
              </w:rPr>
              <w:t>(2)</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xml:space="preserve">Fee-based natural gas processing volumes (MMcf/d) </w:t>
            </w:r>
            <w:r>
              <w:rPr>
                <w:rFonts w:ascii="Times New Roman" w:cs="Times New Roman" w:eastAsia="Times New Roman" w:hAnsi="Times New Roman"/>
                <w:sz w:val="18"/>
                <w:szCs w:val="18"/>
                <w:color w:val="auto"/>
                <w:vertAlign w:val="superscript"/>
              </w:rPr>
              <w:t>(3,4)</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7,478</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7,181</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 xml:space="preserve">Natural gas processing inlet volumes (MMcf/d) </w:t>
            </w:r>
            <w:r>
              <w:rPr>
                <w:rFonts w:ascii="Times New Roman" w:cs="Times New Roman" w:eastAsia="Times New Roman" w:hAnsi="Times New Roman"/>
                <w:sz w:val="18"/>
                <w:szCs w:val="18"/>
                <w:color w:val="auto"/>
                <w:vertAlign w:val="superscript"/>
              </w:rPr>
              <w:t>(5)</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8,252</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7,719</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8,038</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Crude Oil Pipelines &amp; Services, net:</w:t>
            </w: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Crude oil pipeline transportation volumes (MBPD)</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8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Crude oil marine terminal volumes (MBPD)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Natural Gas Pipelines &amp; Services, net:</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xml:space="preserve">Natural gas pipeline transportation volumes (BBtus/d) </w:t>
            </w:r>
            <w:r>
              <w:rPr>
                <w:rFonts w:ascii="Times New Roman" w:cs="Times New Roman" w:eastAsia="Times New Roman" w:hAnsi="Times New Roman"/>
                <w:sz w:val="18"/>
                <w:szCs w:val="18"/>
                <w:color w:val="auto"/>
                <w:vertAlign w:val="superscript"/>
              </w:rPr>
              <w:t>(6)</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21,171</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Petrochemical &amp; Refined Products Services, net:</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8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Propylene production volumes (MBPD)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Butane isomerization volumes (MBPD)</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8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Standalone DIB processing volumes (MBPD)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 xml:space="preserve">Octane enhancement and related plant sales volumes (MBPD) </w:t>
            </w:r>
            <w:r>
              <w:rPr>
                <w:rFonts w:ascii="Times New Roman" w:cs="Times New Roman" w:eastAsia="Times New Roman" w:hAnsi="Times New Roman"/>
                <w:sz w:val="18"/>
                <w:szCs w:val="18"/>
                <w:color w:val="auto"/>
                <w:vertAlign w:val="superscript"/>
              </w:rPr>
              <w:t>(7)</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8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Pipeline transportation volumes, primarily refined products and petrochemicals (MBPD)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 xml:space="preserve">Refined products and petrochemicals marine terminal volumes (MBPD) </w:t>
            </w:r>
            <w:r>
              <w:rPr>
                <w:rFonts w:ascii="Times New Roman" w:cs="Times New Roman" w:eastAsia="Times New Roman" w:hAnsi="Times New Roman"/>
                <w:sz w:val="18"/>
                <w:szCs w:val="18"/>
                <w:color w:val="auto"/>
                <w:vertAlign w:val="superscript"/>
              </w:rPr>
              <w:t>(8)</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net:</w:t>
            </w: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NGL, crude oil, petrochemical and refined products pipeline transportation volumes (MBPD)</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8,628</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7,880</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8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Natural gas pipeline transportation volumes (BBtus/d)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21,171</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20,310</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 xml:space="preserve">Equivalent pipeline transportation volumes (MBPD) </w:t>
            </w:r>
            <w:r>
              <w:rPr>
                <w:rFonts w:ascii="Times New Roman" w:cs="Times New Roman" w:eastAsia="Times New Roman" w:hAnsi="Times New Roman"/>
                <w:sz w:val="18"/>
                <w:szCs w:val="18"/>
                <w:color w:val="auto"/>
                <w:vertAlign w:val="superscript"/>
              </w:rPr>
              <w:t>(9)</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14,199</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13,953</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78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NGL, crude oil, refined products and petrochemical marine terminal volumes (MBPD)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57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jc w:val="both"/>
        <w:ind w:left="340" w:hanging="332"/>
        <w:spacing w:after="0" w:line="267"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rates are calculated based on total volumes divided by the number of calendar days during the applicable period. Total volumes, which include volumes for newly constructed assets from the related in-service date and for recently purchased assets from the related acquisition date, reflect volumes for assets owned by consolidated entities on a 100% basis and volumes for assets owned by our unconsolidated affiliates net to our ownership interest.</w:t>
      </w:r>
    </w:p>
    <w:p>
      <w:pPr>
        <w:spacing w:after="0" w:line="1" w:lineRule="exact"/>
        <w:rPr>
          <w:rFonts w:ascii="Times New Roman" w:cs="Times New Roman" w:eastAsia="Times New Roman" w:hAnsi="Times New Roman"/>
          <w:sz w:val="14"/>
          <w:szCs w:val="14"/>
          <w:color w:val="auto"/>
        </w:rPr>
      </w:pPr>
    </w:p>
    <w:p>
      <w:pPr>
        <w:ind w:left="340" w:hanging="332"/>
        <w:spacing w:after="0" w:line="254"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NGL and condensate volumes we earn and take title to in connection with our processing activities. The total equity NGL-equivalent production volumes also include residue natural gas volumes from our natural gas processing business.</w:t>
      </w: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Volumes reported correspond to the revenue streams earned by our gas plants. “MMcf/d” means million cubic feet per day.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Fee-based natural gas processing volumes are measured at either the wellhead or plant inlet in MMcf/d.</w:t>
      </w:r>
    </w:p>
    <w:p>
      <w:pPr>
        <w:spacing w:after="0" w:line="14" w:lineRule="exact"/>
        <w:rPr>
          <w:rFonts w:ascii="Times New Roman" w:cs="Times New Roman" w:eastAsia="Times New Roman" w:hAnsi="Times New Roman"/>
          <w:sz w:val="14"/>
          <w:szCs w:val="14"/>
          <w:color w:val="auto"/>
        </w:rPr>
      </w:pPr>
    </w:p>
    <w:p>
      <w:pPr>
        <w:jc w:val="both"/>
        <w:ind w:left="340" w:hanging="332"/>
        <w:spacing w:after="0" w:line="257"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processing inlet volumes is an operational measure representing the physical, unprocessed rich natural gas passing through meters located at or near the inlet of our natural gas processing plants or at the wellhead for all natural gas processing facilities that we operate. Substantially all natural gas processing inlet volumes are processed under service contracts that are either fee-based, commodity-based or a combination of both. Natural gas processing inlet volumes are reflected in “Fee-based natural gas processing volumes” for volumes processed under fee-based service contracts, “Equity NGL-equivalent production volumes” for volumes processed under commodity-based service contracts or both of the aforementioned categories for volumes processed under service contracts that have both fee and commodity-based terms.</w:t>
      </w:r>
    </w:p>
    <w:p>
      <w:pPr>
        <w:spacing w:after="0" w:line="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“BBtus/d” means billion British thermal units per day.</w:t>
      </w:r>
    </w:p>
    <w:p>
      <w:pPr>
        <w:spacing w:after="0" w:line="14" w:lineRule="exact"/>
        <w:rPr>
          <w:rFonts w:ascii="Times New Roman" w:cs="Times New Roman" w:eastAsia="Times New Roman" w:hAnsi="Times New Roman"/>
          <w:sz w:val="14"/>
          <w:szCs w:val="14"/>
          <w:color w:val="auto"/>
        </w:rPr>
      </w:pPr>
    </w:p>
    <w:p>
      <w:pPr>
        <w:ind w:left="340" w:right="20" w:hanging="332"/>
        <w:spacing w:after="0" w:line="251"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aggregate sales volumes for our octane enhancement and isobutane dehydrogenation (“iBDH”) facilities located at our Mont Belvieu area complex and our high-purity isobutylene production facility located adjacent to the Houston Ship Channel.</w:t>
      </w: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exports of refined products, these amounts include loading volumes at our ethylene export terminal.</w:t>
      </w:r>
    </w:p>
    <w:p>
      <w:pPr>
        <w:spacing w:after="0" w:line="14" w:lineRule="exact"/>
        <w:rPr>
          <w:rFonts w:ascii="Times New Roman" w:cs="Times New Roman" w:eastAsia="Times New Roman" w:hAnsi="Times New Roman"/>
          <w:sz w:val="14"/>
          <w:szCs w:val="14"/>
          <w:color w:val="auto"/>
        </w:rPr>
      </w:pPr>
    </w:p>
    <w:p>
      <w:pPr>
        <w:ind w:left="340" w:hanging="332"/>
        <w:spacing w:after="0" w:line="283"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total NGL, crude oil, refined products and petrochemical transportation volumes plus equivalent energy volumes where 3.8 million British thermal units (“MMBtus”) of natural gas transportation volumes are equivalent to one barrel of NGLs transported.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103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Enterprise Products Partners L.P.</w:t>
            </w: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C</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Commodity Price Information – UNAUDITED</w:t>
            </w: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4"/>
        </w:trPr>
        <w:tc>
          <w:tcPr>
            <w:tcW w:w="4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502"/>
        </w:trPr>
        <w:tc>
          <w:tcPr>
            <w:tcW w:w="4280" w:type="dxa"/>
            <w:vAlign w:val="bottom"/>
          </w:tcPr>
          <w:p>
            <w:pPr>
              <w:spacing w:after="0"/>
              <w:rPr>
                <w:sz w:val="24"/>
                <w:szCs w:val="24"/>
                <w:color w:val="auto"/>
              </w:rPr>
            </w:pPr>
          </w:p>
        </w:tc>
        <w:tc>
          <w:tcPr>
            <w:tcW w:w="13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Natural</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Normal</w:t>
            </w:r>
          </w:p>
        </w:tc>
        <w:tc>
          <w:tcPr>
            <w:tcW w:w="1180" w:type="dxa"/>
            <w:vAlign w:val="bottom"/>
          </w:tcPr>
          <w:p>
            <w:pPr>
              <w:spacing w:after="0"/>
              <w:rPr>
                <w:sz w:val="24"/>
                <w:szCs w:val="24"/>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Natural</w:t>
            </w:r>
          </w:p>
        </w:tc>
      </w:tr>
      <w:tr>
        <w:trPr>
          <w:trHeight w:val="162"/>
        </w:trPr>
        <w:tc>
          <w:tcPr>
            <w:tcW w:w="4280" w:type="dxa"/>
            <w:vAlign w:val="bottom"/>
          </w:tcPr>
          <w:p>
            <w:pPr>
              <w:spacing w:after="0"/>
              <w:rPr>
                <w:sz w:val="14"/>
                <w:szCs w:val="14"/>
                <w:color w:val="auto"/>
              </w:rPr>
            </w:pPr>
          </w:p>
        </w:tc>
        <w:tc>
          <w:tcPr>
            <w:tcW w:w="13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Gas,</w:t>
            </w:r>
          </w:p>
        </w:tc>
        <w:tc>
          <w:tcPr>
            <w:tcW w:w="11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Ethane,</w:t>
            </w:r>
          </w:p>
        </w:tc>
        <w:tc>
          <w:tcPr>
            <w:tcW w:w="118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Propane,</w:t>
            </w:r>
          </w:p>
        </w:tc>
        <w:tc>
          <w:tcPr>
            <w:tcW w:w="11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Butane,</w:t>
            </w:r>
          </w:p>
        </w:tc>
        <w:tc>
          <w:tcPr>
            <w:tcW w:w="11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Isobutane,</w:t>
            </w: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Gasoline,</w:t>
            </w:r>
          </w:p>
        </w:tc>
      </w:tr>
      <w:tr>
        <w:trPr>
          <w:trHeight w:val="204"/>
        </w:trPr>
        <w:tc>
          <w:tcPr>
            <w:tcW w:w="4280" w:type="dxa"/>
            <w:vAlign w:val="bottom"/>
          </w:tcPr>
          <w:p>
            <w:pPr>
              <w:spacing w:after="0"/>
              <w:rPr>
                <w:sz w:val="17"/>
                <w:szCs w:val="17"/>
                <w:color w:val="auto"/>
              </w:rPr>
            </w:pPr>
          </w:p>
        </w:tc>
        <w:tc>
          <w:tcPr>
            <w:tcW w:w="13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$/MMBtu</w:t>
            </w:r>
          </w:p>
        </w:tc>
        <w:tc>
          <w:tcPr>
            <w:tcW w:w="11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118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11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11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$/gallon</w:t>
            </w:r>
          </w:p>
        </w:tc>
      </w:tr>
      <w:tr>
        <w:trPr>
          <w:trHeight w:val="44"/>
        </w:trPr>
        <w:tc>
          <w:tcPr>
            <w:tcW w:w="428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3"/>
        </w:trPr>
        <w:tc>
          <w:tcPr>
            <w:tcW w:w="4280" w:type="dxa"/>
            <w:vAlign w:val="bottom"/>
          </w:tcPr>
          <w:p>
            <w:pPr>
              <w:spacing w:after="0"/>
              <w:rPr>
                <w:sz w:val="16"/>
                <w:szCs w:val="16"/>
                <w:color w:val="auto"/>
              </w:rPr>
            </w:pPr>
          </w:p>
        </w:tc>
        <w:tc>
          <w:tcPr>
            <w:tcW w:w="13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7"/>
              </w:rPr>
              <w:t>(1)</w:t>
            </w:r>
          </w:p>
        </w:tc>
        <w:tc>
          <w:tcPr>
            <w:tcW w:w="114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w w:val="97"/>
              </w:rPr>
              <w:t>(2)</w:t>
            </w:r>
          </w:p>
        </w:tc>
        <w:tc>
          <w:tcPr>
            <w:tcW w:w="118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w w:val="97"/>
              </w:rPr>
              <w:t>(2)</w:t>
            </w:r>
          </w:p>
        </w:tc>
        <w:tc>
          <w:tcPr>
            <w:tcW w:w="112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w w:val="97"/>
              </w:rPr>
              <w:t>(2)</w:t>
            </w:r>
          </w:p>
        </w:tc>
        <w:tc>
          <w:tcPr>
            <w:tcW w:w="11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w w:val="97"/>
              </w:rPr>
              <w:t>(2)</w:t>
            </w: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7"/>
              </w:rPr>
              <w:t>(2)</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 by quarter:</w:t>
            </w: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7"/>
        </w:trPr>
        <w:tc>
          <w:tcPr>
            <w:tcW w:w="4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1st Quarter</w:t>
            </w:r>
          </w:p>
        </w:tc>
        <w:tc>
          <w:tcPr>
            <w:tcW w:w="1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$3.65</w:t>
            </w:r>
          </w:p>
        </w:tc>
        <w:tc>
          <w:tcPr>
            <w:tcW w:w="11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$0.27</w:t>
            </w:r>
          </w:p>
        </w:tc>
        <w:tc>
          <w:tcPr>
            <w:tcW w:w="11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$0.90</w:t>
            </w: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$1.06</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9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2nd Quarter</w:t>
            </w:r>
          </w:p>
        </w:tc>
        <w:tc>
          <w:tcPr>
            <w:tcW w:w="1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$3.44</w:t>
            </w: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$0.24</w:t>
            </w: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$0.78</w:t>
            </w: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$0.88</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$0.93</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37"/>
        </w:trPr>
        <w:tc>
          <w:tcPr>
            <w:tcW w:w="4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3rd Quarter</w:t>
            </w:r>
          </w:p>
        </w:tc>
        <w:tc>
          <w:tcPr>
            <w:tcW w:w="1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$3.07</w:t>
            </w:r>
          </w:p>
        </w:tc>
        <w:tc>
          <w:tcPr>
            <w:tcW w:w="11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$0.23</w:t>
            </w:r>
          </w:p>
        </w:tc>
        <w:tc>
          <w:tcPr>
            <w:tcW w:w="11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$0.69</w:t>
            </w: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$0.86</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$0.92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4th Quarter</w:t>
            </w:r>
          </w:p>
        </w:tc>
        <w:tc>
          <w:tcPr>
            <w:tcW w:w="1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$3.55</w:t>
            </w: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$0.27</w:t>
            </w: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$0.62</w:t>
            </w: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$0.84</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$0.88</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30"/>
        </w:trPr>
        <w:tc>
          <w:tcPr>
            <w:tcW w:w="4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 Averages</w:t>
            </w:r>
          </w:p>
        </w:tc>
        <w:tc>
          <w:tcPr>
            <w:tcW w:w="1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$3.43</w:t>
            </w: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$0.25</w:t>
            </w:r>
          </w:p>
        </w:tc>
        <w:tc>
          <w:tcPr>
            <w:tcW w:w="11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$0.75</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$0.91</w:t>
            </w:r>
          </w:p>
        </w:tc>
        <w:tc>
          <w:tcPr>
            <w:tcW w:w="11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$0.95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2026 by quarter:</w:t>
            </w:r>
          </w:p>
        </w:tc>
        <w:tc>
          <w:tcPr>
            <w:tcW w:w="1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9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1st Quarter</w:t>
            </w:r>
          </w:p>
        </w:tc>
        <w:tc>
          <w:tcPr>
            <w:tcW w:w="1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$5.05</w:t>
            </w: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$0.23</w:t>
            </w:r>
          </w:p>
        </w:tc>
        <w:tc>
          <w:tcPr>
            <w:tcW w:w="11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$0.66</w:t>
            </w: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$0.88</w:t>
            </w:r>
          </w:p>
        </w:tc>
        <w:tc>
          <w:tcPr>
            <w:tcW w:w="11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$0.89</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25"/>
        </w:trPr>
        <w:tc>
          <w:tcPr>
            <w:tcW w:w="42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4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pacing w:after="0" w:line="58"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prices are based on Henry-Hub Inside FERC commercial index prices as reported by Platts, which is a division of S&amp;P Global, Inc.</w:t>
      </w:r>
    </w:p>
    <w:p>
      <w:pPr>
        <w:spacing w:after="0" w:line="27" w:lineRule="exact"/>
        <w:rPr>
          <w:rFonts w:ascii="Times New Roman" w:cs="Times New Roman" w:eastAsia="Times New Roman" w:hAnsi="Times New Roman"/>
          <w:sz w:val="14"/>
          <w:szCs w:val="14"/>
          <w:color w:val="auto"/>
        </w:rPr>
      </w:pPr>
    </w:p>
    <w:p>
      <w:pPr>
        <w:ind w:left="340" w:hanging="332"/>
        <w:spacing w:after="0" w:line="263"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NGL prices for ethane, propane, normal butane, isobutane and natural gasoline are based on Mont Belvieu Non-TET commercial index prices as reported by Oil Price Information Service, which is a division of Dow Jones.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1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WTI</w:t>
            </w:r>
          </w:p>
        </w:tc>
        <w:tc>
          <w:tcPr>
            <w:tcW w:w="13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Midland</w:t>
            </w:r>
          </w:p>
        </w:tc>
        <w:tc>
          <w:tcPr>
            <w:tcW w:w="11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Houston</w:t>
            </w:r>
          </w:p>
        </w:tc>
      </w:tr>
      <w:tr>
        <w:trPr>
          <w:trHeight w:val="175"/>
        </w:trPr>
        <w:tc>
          <w:tcPr>
            <w:tcW w:w="7360" w:type="dxa"/>
            <w:vAlign w:val="bottom"/>
          </w:tcPr>
          <w:p>
            <w:pPr>
              <w:spacing w:after="0"/>
              <w:rPr>
                <w:sz w:val="15"/>
                <w:szCs w:val="15"/>
                <w:color w:val="auto"/>
              </w:rPr>
            </w:pPr>
          </w:p>
        </w:tc>
        <w:tc>
          <w:tcPr>
            <w:tcW w:w="1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30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1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Crude Oil,</w:t>
            </w:r>
          </w:p>
        </w:tc>
      </w:tr>
      <w:tr>
        <w:trPr>
          <w:trHeight w:val="190"/>
        </w:trPr>
        <w:tc>
          <w:tcPr>
            <w:tcW w:w="7360" w:type="dxa"/>
            <w:vAlign w:val="bottom"/>
          </w:tcPr>
          <w:p>
            <w:pPr>
              <w:spacing w:after="0"/>
              <w:rPr>
                <w:sz w:val="16"/>
                <w:szCs w:val="16"/>
                <w:color w:val="auto"/>
              </w:rPr>
            </w:pPr>
          </w:p>
        </w:tc>
        <w:tc>
          <w:tcPr>
            <w:tcW w:w="1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$/barrel</w:t>
            </w:r>
          </w:p>
        </w:tc>
        <w:tc>
          <w:tcPr>
            <w:tcW w:w="130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$/barrel</w:t>
            </w:r>
          </w:p>
        </w:tc>
        <w:tc>
          <w:tcPr>
            <w:tcW w:w="11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$/barrel</w:t>
            </w:r>
          </w:p>
        </w:tc>
      </w:tr>
      <w:tr>
        <w:trPr>
          <w:trHeight w:val="31"/>
        </w:trPr>
        <w:tc>
          <w:tcPr>
            <w:tcW w:w="73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3"/>
        </w:trPr>
        <w:tc>
          <w:tcPr>
            <w:tcW w:w="7360" w:type="dxa"/>
            <w:vAlign w:val="bottom"/>
          </w:tcPr>
          <w:p>
            <w:pPr>
              <w:spacing w:after="0"/>
              <w:rPr>
                <w:sz w:val="16"/>
                <w:szCs w:val="16"/>
                <w:color w:val="auto"/>
              </w:rPr>
            </w:pPr>
          </w:p>
        </w:tc>
        <w:tc>
          <w:tcPr>
            <w:tcW w:w="14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7"/>
              </w:rPr>
              <w:t>(1)</w:t>
            </w:r>
          </w:p>
        </w:tc>
        <w:tc>
          <w:tcPr>
            <w:tcW w:w="13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w w:val="97"/>
              </w:rPr>
              <w:t>(2)</w:t>
            </w:r>
          </w:p>
        </w:tc>
        <w:tc>
          <w:tcPr>
            <w:tcW w:w="11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(2)</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 by quarter:</w:t>
            </w:r>
          </w:p>
        </w:tc>
        <w:tc>
          <w:tcPr>
            <w:tcW w:w="1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7"/>
        </w:trPr>
        <w:tc>
          <w:tcPr>
            <w:tcW w:w="7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1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1st Quarter</w:t>
            </w:r>
          </w:p>
        </w:tc>
        <w:tc>
          <w:tcPr>
            <w:tcW w:w="14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$71.42</w:t>
            </w:r>
          </w:p>
        </w:tc>
        <w:tc>
          <w:tcPr>
            <w:tcW w:w="1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$72.52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$72.81</w:t>
            </w:r>
          </w:p>
        </w:tc>
      </w:tr>
      <w:tr>
        <w:trPr>
          <w:trHeight w:val="193"/>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2nd Quarter</w:t>
            </w:r>
          </w:p>
        </w:tc>
        <w:tc>
          <w:tcPr>
            <w:tcW w:w="14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$63.87</w:t>
            </w:r>
          </w:p>
        </w:tc>
        <w:tc>
          <w:tcPr>
            <w:tcW w:w="1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$64.42</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$64.65</w:t>
            </w:r>
          </w:p>
        </w:tc>
      </w:tr>
      <w:tr>
        <w:trPr>
          <w:trHeight w:val="37"/>
        </w:trPr>
        <w:tc>
          <w:tcPr>
            <w:tcW w:w="7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09"/>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3rd Quarter</w:t>
            </w:r>
          </w:p>
        </w:tc>
        <w:tc>
          <w:tcPr>
            <w:tcW w:w="14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$64.93</w:t>
            </w:r>
          </w:p>
        </w:tc>
        <w:tc>
          <w:tcPr>
            <w:tcW w:w="1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$65.76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$66.09</w:t>
            </w:r>
          </w:p>
        </w:tc>
      </w:tr>
      <w:tr>
        <w:trPr>
          <w:trHeight w:val="206"/>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4th Quarter</w:t>
            </w:r>
          </w:p>
        </w:tc>
        <w:tc>
          <w:tcPr>
            <w:tcW w:w="14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$59.14</w:t>
            </w:r>
          </w:p>
        </w:tc>
        <w:tc>
          <w:tcPr>
            <w:tcW w:w="1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$59.77</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$60.05</w:t>
            </w:r>
          </w:p>
        </w:tc>
      </w:tr>
      <w:tr>
        <w:trPr>
          <w:trHeight w:val="30"/>
        </w:trPr>
        <w:tc>
          <w:tcPr>
            <w:tcW w:w="73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 Averages</w:t>
            </w:r>
          </w:p>
        </w:tc>
        <w:tc>
          <w:tcPr>
            <w:tcW w:w="14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$64.84</w:t>
            </w:r>
          </w:p>
        </w:tc>
        <w:tc>
          <w:tcPr>
            <w:tcW w:w="1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$65.62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7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2026 by quarter:</w:t>
            </w:r>
          </w:p>
        </w:tc>
        <w:tc>
          <w:tcPr>
            <w:tcW w:w="14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198"/>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1st Quarter</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$71.93</w:t>
            </w:r>
          </w:p>
        </w:tc>
        <w:tc>
          <w:tcPr>
            <w:tcW w:w="1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$73.97</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$74.67</w:t>
            </w:r>
          </w:p>
        </w:tc>
      </w:tr>
      <w:tr>
        <w:trPr>
          <w:trHeight w:val="25"/>
        </w:trPr>
        <w:tc>
          <w:tcPr>
            <w:tcW w:w="73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6"/>
        </w:trPr>
        <w:tc>
          <w:tcPr>
            <w:tcW w:w="7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bl>
    <w:p>
      <w:pPr>
        <w:spacing w:after="0" w:line="72"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West Texas Intermediate (“WTI”) prices are based on commercial index prices at Cushing, Oklahoma as measured by the NYMEX.</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Midland and Houston crude oil prices are based on commercial index prices as reported by Argus.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weighted-average indicative market price for NGLs (based on prices for such products at Mont Belvieu, Texas, which is the primary industry hub for domestic NGL production) was $0.57 per gallon during the first quarter of 2026 versus $0.67 per gallon during the first quarter of 2025. Fluctuations in our consolidated revenues and cost of sales amounts are explained in large part by changes in energy commodity prices. An increase in our consolidated marketing revenues due to higher energy commodity sales prices may not result in an increase in gross operating margin or cash available for distribution, since our consolidated cost of sales amounts would also be expected to increase due to comparable increases in the purchase prices of the underlying energy commodities. The same type of relationship would be true in the case of lower energy commodity sales prices and purchase costs.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20" w:top="103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Enterprise Products Partners L.P.</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Adjusted cash flow from operations and Adjusted Free Cash Flow – UNAUDITED</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0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For the Twelve Months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 cash flow from operations (“Adjusted CFFO”) and Adjusted Free Cash Flow</w:t>
            </w: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gridSpan w:val="4"/>
            <w:vMerge w:val="continue"/>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FCF”)</w:t>
            </w: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3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7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flow provided by operating activities (GAAP)</w:t>
            </w:r>
          </w:p>
        </w:tc>
        <w:tc>
          <w:tcPr>
            <w:tcW w:w="80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7,740</w:t>
            </w:r>
          </w:p>
        </w:tc>
        <w:tc>
          <w:tcPr>
            <w:tcW w:w="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Adjustments to reconcile net cash flow provided by operating activities to</w:t>
            </w: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00" w:type="dxa"/>
            <w:vAlign w:val="bottom"/>
            <w:gridSpan w:val="4"/>
          </w:tcPr>
          <w:p>
            <w:pPr>
              <w:ind w:left="160"/>
              <w:spacing w:after="0"/>
              <w:rPr>
                <w:sz w:val="20"/>
                <w:szCs w:val="20"/>
                <w:color w:val="auto"/>
              </w:rPr>
            </w:pPr>
            <w:r>
              <w:rPr>
                <w:rFonts w:ascii="Times New Roman" w:cs="Times New Roman" w:eastAsia="Times New Roman" w:hAnsi="Times New Roman"/>
                <w:sz w:val="14"/>
                <w:szCs w:val="14"/>
                <w:i w:val="1"/>
                <w:iCs w:val="1"/>
                <w:color w:val="auto"/>
              </w:rPr>
              <w:t>Adjusted CFFO and Adjusted FCF (addition or subtraction indicated by sign):</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7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effect of changes in operating accounts, as applicable</w:t>
            </w:r>
          </w:p>
        </w:tc>
        <w:tc>
          <w:tcPr>
            <w:tcW w:w="8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Adjusted CFFO (non-GAAP)</w:t>
            </w:r>
          </w:p>
        </w:tc>
        <w:tc>
          <w:tcPr>
            <w:tcW w:w="800" w:type="dxa"/>
            <w:vAlign w:val="bottom"/>
            <w:tcBorders>
              <w:top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160" w:type="dxa"/>
            <w:vAlign w:val="bottom"/>
          </w:tcPr>
          <w:p>
            <w:pPr>
              <w:spacing w:after="0"/>
              <w:rPr>
                <w:sz w:val="16"/>
                <w:szCs w:val="16"/>
                <w:color w:val="auto"/>
              </w:rPr>
            </w:pPr>
          </w:p>
        </w:tc>
        <w:tc>
          <w:tcPr>
            <w:tcW w:w="800" w:type="dxa"/>
            <w:vAlign w:val="bottom"/>
            <w:tcBorders>
              <w:top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16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8,928</w:t>
            </w:r>
          </w:p>
        </w:tc>
        <w:tc>
          <w:tcPr>
            <w:tcW w:w="160" w:type="dxa"/>
            <w:vAlign w:val="bottom"/>
          </w:tcPr>
          <w:p>
            <w:pPr>
              <w:spacing w:after="0"/>
              <w:rPr>
                <w:sz w:val="16"/>
                <w:szCs w:val="16"/>
                <w:color w:val="auto"/>
              </w:rPr>
            </w:pPr>
          </w:p>
        </w:tc>
        <w:tc>
          <w:tcPr>
            <w:tcW w:w="46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7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cash flow used in investing activities</w:t>
            </w:r>
          </w:p>
        </w:tc>
        <w:tc>
          <w:tcPr>
            <w:tcW w:w="8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w:t>
            </w:r>
          </w:p>
        </w:tc>
        <w:tc>
          <w:tcPr>
            <w:tcW w:w="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Cash contributions from noncontrolling interests</w:t>
            </w:r>
          </w:p>
        </w:tc>
        <w:tc>
          <w:tcPr>
            <w:tcW w:w="80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7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distributions paid to noncontrolling interests</w:t>
            </w:r>
          </w:p>
        </w:tc>
        <w:tc>
          <w:tcPr>
            <w:tcW w:w="8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Adjusted FCF (non-GAAP)</w:t>
            </w:r>
          </w:p>
        </w:tc>
        <w:tc>
          <w:tcPr>
            <w:tcW w:w="800" w:type="dxa"/>
            <w:vAlign w:val="bottom"/>
            <w:tcBorders>
              <w:top w:val="single" w:sz="8" w:color="auto"/>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1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CFFO is a non-GAAP measure that represents net cash flow provided by operating activities before the net effect of changes in operating accounts. We believe that it is important to consider this non-GAAP measure as it can often be a better way to measure the amount of cash generated from our operations that can be used to fund our capital investments or return value to our investors through cash distributions and buybacks, without regard for fluctuations caused by timing of when amounts earned or incurred were collected, received or paid from period to period.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FCF is a non-GAAP measure that reflects cash generated from our operations, excluding the net effect of changes in operating accounts, after accounting for capital expenditures. We believe that Adjusted FCF is important to traditional investors since it reflects the amount of cash available for reducing debt, investing in additional capital projects and/or paying distributions, without regard for fluctuations caused by timing of when amounts earned or incurred were collected, received or paid from period to period. Since we partner with other companies to fund certain capital projects of our consolidated subsidiaries, our determination of Adjusted FCF appropriately reflects the amount of cash contributed from and distributed to noncontrolling interests.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40"/>
          </w:cols>
          <w:pgMar w:left="320" w:top="103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0"/>
        </w:trPr>
        <w:tc>
          <w:tcPr>
            <w:tcW w:w="7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Enterprise Products Partners L.P.</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E</w:t>
            </w:r>
          </w:p>
        </w:tc>
        <w:tc>
          <w:tcPr>
            <w:tcW w:w="0" w:type="dxa"/>
            <w:vAlign w:val="bottom"/>
          </w:tcPr>
          <w:p>
            <w:pPr>
              <w:spacing w:after="0"/>
              <w:rPr>
                <w:sz w:val="1"/>
                <w:szCs w:val="1"/>
                <w:color w:val="auto"/>
              </w:rPr>
            </w:pPr>
          </w:p>
        </w:tc>
      </w:tr>
      <w:tr>
        <w:trPr>
          <w:trHeight w:val="229"/>
        </w:trPr>
        <w:tc>
          <w:tcPr>
            <w:tcW w:w="7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Distributable Cash Flow and Operational Distributable Cash Flow – UNAUDITED</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82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1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For the Twelve</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6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204"/>
        </w:trPr>
        <w:tc>
          <w:tcPr>
            <w:tcW w:w="18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7"/>
        </w:trPr>
        <w:tc>
          <w:tcPr>
            <w:tcW w:w="18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186"/>
        </w:trPr>
        <w:tc>
          <w:tcPr>
            <w:tcW w:w="18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100" w:type="dxa"/>
            <w:vAlign w:val="bottom"/>
            <w:gridSpan w:val="3"/>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Distributable Cash Flow (“DCF”) and Operational DCF</w:t>
            </w: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710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820" w:type="dxa"/>
            <w:vAlign w:val="bottom"/>
          </w:tcPr>
          <w:p>
            <w:pPr>
              <w:spacing w:after="0"/>
              <w:rPr>
                <w:sz w:val="4"/>
                <w:szCs w:val="4"/>
                <w:color w:val="auto"/>
              </w:rPr>
            </w:pPr>
          </w:p>
        </w:tc>
        <w:tc>
          <w:tcPr>
            <w:tcW w:w="3460" w:type="dxa"/>
            <w:vAlign w:val="bottom"/>
            <w:tcBorders>
              <w:top w:val="single" w:sz="8" w:color="auto"/>
            </w:tcBorders>
          </w:tcPr>
          <w:p>
            <w:pPr>
              <w:spacing w:after="0"/>
              <w:rPr>
                <w:sz w:val="4"/>
                <w:szCs w:val="4"/>
                <w:color w:val="auto"/>
              </w:rPr>
            </w:pPr>
          </w:p>
        </w:tc>
        <w:tc>
          <w:tcPr>
            <w:tcW w:w="1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common unitholders (GAAP)</w:t>
            </w:r>
          </w:p>
        </w:tc>
        <w:tc>
          <w:tcPr>
            <w:tcW w:w="80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5,899</w:t>
            </w:r>
          </w:p>
        </w:tc>
        <w:tc>
          <w:tcPr>
            <w:tcW w:w="0" w:type="dxa"/>
            <w:vAlign w:val="bottom"/>
          </w:tcPr>
          <w:p>
            <w:pPr>
              <w:spacing w:after="0"/>
              <w:rPr>
                <w:sz w:val="1"/>
                <w:szCs w:val="1"/>
                <w:color w:val="auto"/>
              </w:rPr>
            </w:pPr>
          </w:p>
        </w:tc>
      </w:tr>
      <w:tr>
        <w:trPr>
          <w:trHeight w:val="164"/>
        </w:trPr>
        <w:tc>
          <w:tcPr>
            <w:tcW w:w="71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Adjustments to net income attributable to common</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100" w:type="dxa"/>
            <w:vAlign w:val="bottom"/>
            <w:gridSpan w:val="3"/>
          </w:tcPr>
          <w:p>
            <w:pPr>
              <w:ind w:left="180"/>
              <w:spacing w:after="0"/>
              <w:rPr>
                <w:sz w:val="20"/>
                <w:szCs w:val="20"/>
                <w:color w:val="auto"/>
              </w:rPr>
            </w:pPr>
            <w:r>
              <w:rPr>
                <w:rFonts w:ascii="Times New Roman" w:cs="Times New Roman" w:eastAsia="Times New Roman" w:hAnsi="Times New Roman"/>
                <w:sz w:val="14"/>
                <w:szCs w:val="14"/>
                <w:i w:val="1"/>
                <w:iCs w:val="1"/>
                <w:color w:val="auto"/>
              </w:rPr>
              <w:t>unitholders to derive DCF (addition or subtraction indicated by sign):</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8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Depreciation, amortization and accretion expenses </w:t>
            </w:r>
            <w:r>
              <w:rPr>
                <w:rFonts w:ascii="Times New Roman" w:cs="Times New Roman" w:eastAsia="Times New Roman" w:hAnsi="Times New Roman"/>
                <w:sz w:val="18"/>
                <w:szCs w:val="18"/>
                <w:color w:val="auto"/>
                <w:vertAlign w:val="superscript"/>
              </w:rPr>
              <w:t>(1)</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0" w:type="dxa"/>
            <w:vAlign w:val="bottom"/>
          </w:tcPr>
          <w:p>
            <w:pPr>
              <w:spacing w:after="0"/>
              <w:rPr>
                <w:sz w:val="1"/>
                <w:szCs w:val="1"/>
                <w:color w:val="auto"/>
              </w:rPr>
            </w:pPr>
          </w:p>
        </w:tc>
      </w:tr>
      <w:tr>
        <w:trPr>
          <w:trHeight w:val="193"/>
        </w:trPr>
        <w:tc>
          <w:tcPr>
            <w:tcW w:w="71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Cash distributions received from unconsolidated affiliates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37"/>
        </w:trPr>
        <w:tc>
          <w:tcPr>
            <w:tcW w:w="18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93"/>
        </w:trPr>
        <w:tc>
          <w:tcPr>
            <w:tcW w:w="71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Asset impairment charges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37"/>
        </w:trPr>
        <w:tc>
          <w:tcPr>
            <w:tcW w:w="18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market value of derivative instruments</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93"/>
        </w:trPr>
        <w:tc>
          <w:tcPr>
            <w:tcW w:w="71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37"/>
        </w:trPr>
        <w:tc>
          <w:tcPr>
            <w:tcW w:w="18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7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Sustaining capital expenditures </w:t>
            </w:r>
            <w:r>
              <w:rPr>
                <w:rFonts w:ascii="Times New Roman" w:cs="Times New Roman" w:eastAsia="Times New Roman" w:hAnsi="Times New Roman"/>
                <w:sz w:val="18"/>
                <w:szCs w:val="18"/>
                <w:color w:val="auto"/>
                <w:vertAlign w:val="superscript"/>
              </w:rPr>
              <w:t>(2)</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193"/>
        </w:trPr>
        <w:tc>
          <w:tcPr>
            <w:tcW w:w="71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37"/>
        </w:trPr>
        <w:tc>
          <w:tcPr>
            <w:tcW w:w="1820" w:type="dxa"/>
            <w:vAlign w:val="bottom"/>
            <w:tcBorders>
              <w:bottom w:val="single" w:sz="8" w:color="CCEEFF"/>
            </w:tcBorders>
          </w:tcPr>
          <w:p>
            <w:pPr>
              <w:spacing w:after="0"/>
              <w:rPr>
                <w:sz w:val="3"/>
                <w:szCs w:val="3"/>
                <w:color w:val="auto"/>
              </w:rPr>
            </w:pPr>
          </w:p>
        </w:tc>
        <w:tc>
          <w:tcPr>
            <w:tcW w:w="346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Operational DCF (non-GAAP)</w:t>
            </w: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8,006</w:t>
            </w:r>
          </w:p>
        </w:tc>
        <w:tc>
          <w:tcPr>
            <w:tcW w:w="0" w:type="dxa"/>
            <w:vAlign w:val="bottom"/>
          </w:tcPr>
          <w:p>
            <w:pPr>
              <w:spacing w:after="0"/>
              <w:rPr>
                <w:sz w:val="1"/>
                <w:szCs w:val="1"/>
                <w:color w:val="auto"/>
              </w:rPr>
            </w:pPr>
          </w:p>
        </w:tc>
      </w:tr>
      <w:tr>
        <w:trPr>
          <w:trHeight w:val="193"/>
        </w:trPr>
        <w:tc>
          <w:tcPr>
            <w:tcW w:w="71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Proceeds from asset sales and other matters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37"/>
        </w:trPr>
        <w:tc>
          <w:tcPr>
            <w:tcW w:w="18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Monetization of interest rate derivative instruments accounted</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710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for as cash flow hedges</w:t>
            </w:r>
          </w:p>
        </w:tc>
        <w:tc>
          <w:tcPr>
            <w:tcW w:w="8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6"/>
        </w:trPr>
        <w:tc>
          <w:tcPr>
            <w:tcW w:w="7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DCF (non-GAAP)</w:t>
            </w:r>
          </w:p>
        </w:tc>
        <w:tc>
          <w:tcPr>
            <w:tcW w:w="800" w:type="dxa"/>
            <w:vAlign w:val="bottom"/>
            <w:tcBorders>
              <w:top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40" w:type="dxa"/>
            <w:vAlign w:val="bottom"/>
          </w:tcPr>
          <w:p>
            <w:pPr>
              <w:spacing w:after="0"/>
              <w:rPr>
                <w:sz w:val="16"/>
                <w:szCs w:val="16"/>
                <w:color w:val="auto"/>
              </w:rPr>
            </w:pPr>
          </w:p>
        </w:tc>
        <w:tc>
          <w:tcPr>
            <w:tcW w:w="840" w:type="dxa"/>
            <w:vAlign w:val="bottom"/>
            <w:tcBorders>
              <w:top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8,694</w:t>
            </w:r>
          </w:p>
        </w:tc>
        <w:tc>
          <w:tcPr>
            <w:tcW w:w="0" w:type="dxa"/>
            <w:vAlign w:val="bottom"/>
          </w:tcPr>
          <w:p>
            <w:pPr>
              <w:spacing w:after="0"/>
              <w:rPr>
                <w:sz w:val="1"/>
                <w:szCs w:val="1"/>
                <w:color w:val="auto"/>
              </w:rPr>
            </w:pPr>
          </w:p>
        </w:tc>
      </w:tr>
      <w:tr>
        <w:trPr>
          <w:trHeight w:val="37"/>
        </w:trPr>
        <w:tc>
          <w:tcPr>
            <w:tcW w:w="18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7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Adjustments to reconcile DCF with net cash flow provided by operating</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1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activities (addition or subtraction indicated by sign):</w:t>
            </w: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71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Net effect of changes in operating accounts, as applicable</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0" w:type="dxa"/>
            <w:vAlign w:val="bottom"/>
          </w:tcPr>
          <w:p>
            <w:pPr>
              <w:spacing w:after="0"/>
              <w:rPr>
                <w:sz w:val="1"/>
                <w:szCs w:val="1"/>
                <w:color w:val="auto"/>
              </w:rPr>
            </w:pPr>
          </w:p>
        </w:tc>
      </w:tr>
      <w:tr>
        <w:trPr>
          <w:trHeight w:val="37"/>
        </w:trPr>
        <w:tc>
          <w:tcPr>
            <w:tcW w:w="18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Sustaining capital expenditures</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193"/>
        </w:trPr>
        <w:tc>
          <w:tcPr>
            <w:tcW w:w="71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Proceeds from asset sales and other matters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37"/>
        </w:trPr>
        <w:tc>
          <w:tcPr>
            <w:tcW w:w="18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1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218"/>
        </w:trPr>
        <w:tc>
          <w:tcPr>
            <w:tcW w:w="7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flow provided by operating activities (GAAP)</w:t>
            </w:r>
          </w:p>
        </w:tc>
        <w:tc>
          <w:tcPr>
            <w:tcW w:w="800" w:type="dxa"/>
            <w:vAlign w:val="bottom"/>
            <w:tcBorders>
              <w:top w:val="single" w:sz="8" w:color="auto"/>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7,740</w:t>
            </w:r>
          </w:p>
        </w:tc>
        <w:tc>
          <w:tcPr>
            <w:tcW w:w="0" w:type="dxa"/>
            <w:vAlign w:val="bottom"/>
          </w:tcPr>
          <w:p>
            <w:pPr>
              <w:spacing w:after="0"/>
              <w:rPr>
                <w:sz w:val="1"/>
                <w:szCs w:val="1"/>
                <w:color w:val="auto"/>
              </w:rPr>
            </w:pPr>
          </w:p>
        </w:tc>
      </w:tr>
      <w:tr>
        <w:trPr>
          <w:trHeight w:val="25"/>
        </w:trPr>
        <w:tc>
          <w:tcPr>
            <w:tcW w:w="18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amortization of finance lease right-of-use assets, which are a component of DCF.</w:t>
      </w:r>
    </w:p>
    <w:p>
      <w:pPr>
        <w:spacing w:after="0" w:line="27" w:lineRule="exact"/>
        <w:rPr>
          <w:rFonts w:ascii="Times New Roman" w:cs="Times New Roman" w:eastAsia="Times New Roman" w:hAnsi="Times New Roman"/>
          <w:sz w:val="14"/>
          <w:szCs w:val="14"/>
          <w:color w:val="auto"/>
        </w:rPr>
      </w:pPr>
    </w:p>
    <w:p>
      <w:pPr>
        <w:ind w:left="340" w:hanging="332"/>
        <w:spacing w:after="0" w:line="283"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Sustaining capital expenditures are capital expenditures (as defined by GAAP) resulting from improvements to and major renewals of existing assets. Such expenditures serve to maintain existing operations but do not generate additional revenues.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DCF is an important non-GAAP liquidity measure for our common unitholders since it serves as an indicator of our success in providing a cash return on investment. Specifically, this liquidity measure indicates to investors whether or not we are generating cash flows at a level that can sustain or support an increase in our quarterly cash distributions. DCF is also a quantitative standard used by the investment community with respect to publicly traded partnerships because the value of a partnership unit is, in part, measured by its yield, which is based on the amount of cash distributions a partnership can pay to a common unitholder.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Operational DCF, which is defined as DCF excluding the impact of proceeds from asset sales and other matters and monetization of interest rate derivative instruments, is a supplemental non-GAAP liquidity measure that quantifies the portion of cash available for distribution to common unitholders that was generated from our normal operations. We believe that it is important to consider this non-GAAP measure as it provides an enhanced perspective of our assets’ ability to generate cash flows without regard for certain items that do not reflect our core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GAAP measure most directly comparable to DCF and Operational DCF is net cash flow provided by operating activities.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40"/>
          </w:cols>
          <w:pgMar w:left="320" w:top="103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Enterprise Products Partners L.P.</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F</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 - UNAUDITED</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7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For the Twelve</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15"/>
                <w:szCs w:val="15"/>
                <w:color w:val="auto"/>
              </w:rPr>
            </w:pPr>
          </w:p>
        </w:tc>
        <w:tc>
          <w:tcPr>
            <w:tcW w:w="226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90"/>
        </w:trPr>
        <w:tc>
          <w:tcPr>
            <w:tcW w:w="7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6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50"/>
        </w:trPr>
        <w:tc>
          <w:tcPr>
            <w:tcW w:w="7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186"/>
        </w:trPr>
        <w:tc>
          <w:tcPr>
            <w:tcW w:w="7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(GAAP)</w:t>
            </w:r>
          </w:p>
        </w:tc>
        <w:tc>
          <w:tcPr>
            <w:tcW w:w="80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5,966</w:t>
            </w:r>
          </w:p>
        </w:tc>
        <w:tc>
          <w:tcPr>
            <w:tcW w:w="0" w:type="dxa"/>
            <w:vAlign w:val="bottom"/>
          </w:tcPr>
          <w:p>
            <w:pPr>
              <w:spacing w:after="0"/>
              <w:rPr>
                <w:sz w:val="1"/>
                <w:szCs w:val="1"/>
                <w:color w:val="auto"/>
              </w:rPr>
            </w:pPr>
          </w:p>
        </w:tc>
      </w:tr>
      <w:tr>
        <w:trPr>
          <w:trHeight w:val="164"/>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Adjustments to net income to derive Adjusted EBITDA</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(addition or subtraction indicated by sign):</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7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Depreciation, amortization and accretion in costs and expenses </w:t>
            </w:r>
            <w:r>
              <w:rPr>
                <w:rFonts w:ascii="Times New Roman" w:cs="Times New Roman" w:eastAsia="Times New Roman" w:hAnsi="Times New Roman"/>
                <w:sz w:val="18"/>
                <w:szCs w:val="18"/>
                <w:color w:val="auto"/>
                <w:vertAlign w:val="superscript"/>
              </w:rPr>
              <w:t>(1)</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0" w:type="dxa"/>
            <w:vAlign w:val="bottom"/>
          </w:tcPr>
          <w:p>
            <w:pPr>
              <w:spacing w:after="0"/>
              <w:rPr>
                <w:sz w:val="1"/>
                <w:szCs w:val="1"/>
                <w:color w:val="auto"/>
              </w:rPr>
            </w:pPr>
          </w:p>
        </w:tc>
      </w:tr>
      <w:tr>
        <w:trPr>
          <w:trHeight w:val="193"/>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 including related amortization</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37"/>
        </w:trPr>
        <w:tc>
          <w:tcPr>
            <w:tcW w:w="7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distributions received from unconsolidated affiliates</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93"/>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37"/>
        </w:trPr>
        <w:tc>
          <w:tcPr>
            <w:tcW w:w="7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Asset impairment charges</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3"/>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37"/>
        </w:trPr>
        <w:tc>
          <w:tcPr>
            <w:tcW w:w="7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market value of commodity derivative instruments</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93"/>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7"/>
        </w:trPr>
        <w:tc>
          <w:tcPr>
            <w:tcW w:w="7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 (non-GAAP)</w:t>
            </w: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10,212</w:t>
            </w:r>
          </w:p>
        </w:tc>
        <w:tc>
          <w:tcPr>
            <w:tcW w:w="0" w:type="dxa"/>
            <w:vAlign w:val="bottom"/>
          </w:tcPr>
          <w:p>
            <w:pPr>
              <w:spacing w:after="0"/>
              <w:rPr>
                <w:sz w:val="1"/>
                <w:szCs w:val="1"/>
                <w:color w:val="auto"/>
              </w:rPr>
            </w:pPr>
          </w:p>
        </w:tc>
      </w:tr>
      <w:tr>
        <w:trPr>
          <w:trHeight w:val="164"/>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Adjustments to reconcile Adjusted EBITDA to net cash flow provided by</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operating activities (addition or subtraction indicated by sign):</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7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 including related amortization</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193"/>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37"/>
        </w:trPr>
        <w:tc>
          <w:tcPr>
            <w:tcW w:w="7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3"/>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effect of changes in operating accounts, as applicable</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0" w:type="dxa"/>
            <w:vAlign w:val="bottom"/>
          </w:tcPr>
          <w:p>
            <w:pPr>
              <w:spacing w:after="0"/>
              <w:rPr>
                <w:sz w:val="1"/>
                <w:szCs w:val="1"/>
                <w:color w:val="auto"/>
              </w:rPr>
            </w:pPr>
          </w:p>
        </w:tc>
      </w:tr>
      <w:tr>
        <w:trPr>
          <w:trHeight w:val="37"/>
        </w:trPr>
        <w:tc>
          <w:tcPr>
            <w:tcW w:w="7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18"/>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flow provided by operating activities (GAAP)</w:t>
            </w:r>
          </w:p>
        </w:tc>
        <w:tc>
          <w:tcPr>
            <w:tcW w:w="800" w:type="dxa"/>
            <w:vAlign w:val="bottom"/>
            <w:tcBorders>
              <w:top w:val="single" w:sz="8" w:color="auto"/>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7,740</w:t>
            </w:r>
          </w:p>
        </w:tc>
        <w:tc>
          <w:tcPr>
            <w:tcW w:w="0" w:type="dxa"/>
            <w:vAlign w:val="bottom"/>
          </w:tcPr>
          <w:p>
            <w:pPr>
              <w:spacing w:after="0"/>
              <w:rPr>
                <w:sz w:val="1"/>
                <w:szCs w:val="1"/>
                <w:color w:val="auto"/>
              </w:rPr>
            </w:pPr>
          </w:p>
        </w:tc>
      </w:tr>
      <w:tr>
        <w:trPr>
          <w:trHeight w:val="25"/>
        </w:trPr>
        <w:tc>
          <w:tcPr>
            <w:tcW w:w="7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amortization of major maintenance costs for reaction-based plants, which are a component of Adjusted EBITDA.</w:t>
      </w: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commonly used as a supplemental financial measure by our management and external users of our financial statements, such as investors, commercial banks, research analysts and rating agencies, to assess the financial performance of our assets without regard to financing methods, capital structures or historical cost basis; the ability of our assets to generate cash sufficient to pay interest and support our indebtedness; and the viability of projects and the overall rates of return on alternative investment opportunities.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Adjusted EBITDA excludes some, but not all, items that affect net income or loss and because these measures may vary among other companies, the Adjusted EBITDA data presented in this press release may not be comparable to similarly titled measures of other companies. The GAAP measure most directly comparable to Adjusted EBITDA is net cash flow provided by operating activities.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40"/>
          </w:cols>
          <w:pgMar w:left="320" w:top="103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Enterprise Products Partners L.P.</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G</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Gross Operating Margin – UNAUDITED</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7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For the Twelve</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15"/>
                <w:szCs w:val="15"/>
                <w:color w:val="auto"/>
              </w:rPr>
            </w:pPr>
          </w:p>
        </w:tc>
        <w:tc>
          <w:tcPr>
            <w:tcW w:w="226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90"/>
        </w:trPr>
        <w:tc>
          <w:tcPr>
            <w:tcW w:w="7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6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50"/>
        </w:trPr>
        <w:tc>
          <w:tcPr>
            <w:tcW w:w="7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186"/>
        </w:trPr>
        <w:tc>
          <w:tcPr>
            <w:tcW w:w="7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gross operating margin (non-GAAP)</w:t>
            </w:r>
          </w:p>
        </w:tc>
        <w:tc>
          <w:tcPr>
            <w:tcW w:w="80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10,223</w:t>
            </w:r>
          </w:p>
        </w:tc>
        <w:tc>
          <w:tcPr>
            <w:tcW w:w="0" w:type="dxa"/>
            <w:vAlign w:val="bottom"/>
          </w:tcPr>
          <w:p>
            <w:pPr>
              <w:spacing w:after="0"/>
              <w:rPr>
                <w:sz w:val="1"/>
                <w:szCs w:val="1"/>
                <w:color w:val="auto"/>
              </w:rPr>
            </w:pPr>
          </w:p>
        </w:tc>
      </w:tr>
      <w:tr>
        <w:trPr>
          <w:trHeight w:val="164"/>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Adjustments to reconcile total gross operating margin to total operating</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income (addition or subtraction indicated by sign):</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7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amortization and accretion expense in operating</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xml:space="preserve">costs and expenses </w:t>
            </w:r>
            <w:r>
              <w:rPr>
                <w:rFonts w:ascii="Times New Roman" w:cs="Times New Roman" w:eastAsia="Times New Roman" w:hAnsi="Times New Roman"/>
                <w:sz w:val="9"/>
                <w:szCs w:val="9"/>
                <w:color w:val="auto"/>
              </w:rPr>
              <w:t>(1)</w:t>
            </w: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0" w:type="dxa"/>
            <w:vAlign w:val="bottom"/>
          </w:tcPr>
          <w:p>
            <w:pPr>
              <w:spacing w:after="0"/>
              <w:rPr>
                <w:sz w:val="1"/>
                <w:szCs w:val="1"/>
                <w:color w:val="auto"/>
              </w:rPr>
            </w:pPr>
          </w:p>
        </w:tc>
      </w:tr>
      <w:tr>
        <w:trPr>
          <w:trHeight w:val="193"/>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 impairment charges in operating costs and expenses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37"/>
        </w:trPr>
        <w:tc>
          <w:tcPr>
            <w:tcW w:w="7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gains (losses) attributable to asset sales and related matters in operating costs and expenses</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3"/>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 costs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37"/>
        </w:trPr>
        <w:tc>
          <w:tcPr>
            <w:tcW w:w="7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income (GAAP)</w:t>
            </w:r>
          </w:p>
        </w:tc>
        <w:tc>
          <w:tcPr>
            <w:tcW w:w="80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amortization of major maintenance costs for reaction-based plants and amortization of finance lease right-of-use assets, which are components of gross operating margin.</w:t>
      </w:r>
    </w:p>
    <w:p>
      <w:pPr>
        <w:spacing w:after="0" w:line="2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evaluate segment performance based on our financial measure of gross operating margin. Gross operating margin is an important performance measure of the core profitability of our operations and forms the basis of our internal financial reporting. We believe that investors benefit from having access to the same financial measures that our management uses in evaluating segment results.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 “total gross operating margin” represents GAAP operating income exclusive of (i) depreciation, amortization and accretion expenses (excluding amortization of major maintenance costs for reaction-based plants and amortization of finance lease right-of-use assets), (ii) impairment charges, (iii) gains and losses attributable to asset sales and related matters, and (iv) general and administrative costs. Total gross operating margin includes equity in the earnings of unconsolidated affiliates, but is exclusive of other income and expense transactions, income taxes, the cumulative effect of changes in accounting principles and extraordinary charges. Total gross operating margin is presented on a 100 percent basis before any allocation of earnings to noncontrolling interests. The GAAP financial measure most directly comparable to total gross operating margin is operating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gross operating margin excludes amounts attributable to shipper make-up rights as described in footnote (5) to Exhibit A of this press release.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40"/>
          </w:cols>
          <w:pgMar w:left="320" w:top="1033"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Enterprise Products Partners L.P.</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H</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 – UNAUDITED</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7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For the Twelve</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15"/>
                <w:szCs w:val="15"/>
                <w:color w:val="auto"/>
              </w:rPr>
            </w:pPr>
          </w:p>
        </w:tc>
        <w:tc>
          <w:tcPr>
            <w:tcW w:w="226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90"/>
        </w:trPr>
        <w:tc>
          <w:tcPr>
            <w:tcW w:w="7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6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50"/>
        </w:trPr>
        <w:tc>
          <w:tcPr>
            <w:tcW w:w="7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186"/>
        </w:trPr>
        <w:tc>
          <w:tcPr>
            <w:tcW w:w="7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Capital investments:</w:t>
            </w: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1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80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4,909</w:t>
            </w:r>
          </w:p>
        </w:tc>
        <w:tc>
          <w:tcPr>
            <w:tcW w:w="0" w:type="dxa"/>
            <w:vAlign w:val="bottom"/>
          </w:tcPr>
          <w:p>
            <w:pPr>
              <w:spacing w:after="0"/>
              <w:rPr>
                <w:sz w:val="1"/>
                <w:szCs w:val="1"/>
                <w:color w:val="auto"/>
              </w:rPr>
            </w:pPr>
          </w:p>
        </w:tc>
      </w:tr>
      <w:tr>
        <w:trPr>
          <w:trHeight w:val="193"/>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used for asset acquisitions</w:t>
            </w:r>
          </w:p>
        </w:tc>
        <w:tc>
          <w:tcPr>
            <w:tcW w:w="8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37"/>
        </w:trPr>
        <w:tc>
          <w:tcPr>
            <w:tcW w:w="7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8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37"/>
        </w:trPr>
        <w:tc>
          <w:tcPr>
            <w:tcW w:w="7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capital investments</w:t>
            </w:r>
          </w:p>
        </w:tc>
        <w:tc>
          <w:tcPr>
            <w:tcW w:w="80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mark-to-market gains (losses)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For the Twelve</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32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90"/>
        </w:trPr>
        <w:tc>
          <w:tcPr>
            <w:tcW w:w="45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7"/>
        </w:trPr>
        <w:tc>
          <w:tcPr>
            <w:tcW w:w="45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Mark-to-market gains (losses) in gross operating margin:</w:t>
            </w:r>
          </w:p>
        </w:tc>
        <w:tc>
          <w:tcPr>
            <w:tcW w:w="254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456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5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334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2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37"/>
        </w:trPr>
        <w:tc>
          <w:tcPr>
            <w:tcW w:w="45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25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3"/>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2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37"/>
        </w:trPr>
        <w:tc>
          <w:tcPr>
            <w:tcW w:w="4560" w:type="dxa"/>
            <w:vAlign w:val="bottom"/>
            <w:tcBorders>
              <w:bottom w:val="single" w:sz="8" w:color="CCEEFF"/>
            </w:tcBorders>
          </w:tcPr>
          <w:p>
            <w:pPr>
              <w:spacing w:after="0"/>
              <w:rPr>
                <w:sz w:val="3"/>
                <w:szCs w:val="3"/>
                <w:color w:val="auto"/>
              </w:rPr>
            </w:pPr>
          </w:p>
        </w:tc>
        <w:tc>
          <w:tcPr>
            <w:tcW w:w="25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mark-to-market impact on gross operating margin</w:t>
            </w:r>
          </w:p>
        </w:tc>
        <w:tc>
          <w:tcPr>
            <w:tcW w:w="334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328"/>
              <w:spacing w:after="0"/>
              <w:rPr>
                <w:sz w:val="20"/>
                <w:szCs w:val="20"/>
                <w:color w:val="auto"/>
              </w:rPr>
            </w:pPr>
            <w:r>
              <w:rPr>
                <w:rFonts w:ascii="Times New Roman" w:cs="Times New Roman" w:eastAsia="Times New Roman" w:hAnsi="Times New Roman"/>
                <w:sz w:val="14"/>
                <w:szCs w:val="14"/>
                <w:color w:val="auto"/>
              </w:rPr>
              <w:t>12</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2"/>
        </w:trPr>
        <w:tc>
          <w:tcPr>
            <w:tcW w:w="45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04"/>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2026-04-28T05:20:30Z</dcterms:created>
  <dcterms:modified xsi:type="dcterms:W3CDTF">2026-04-28T05:20:30Z</dcterms:modified>
</cp:coreProperties>
</file>