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UNITED STATES</w:t>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SECURITIES AND EXCHANGE COMMISSION</w:t>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WASHINGTON, DC 20549</w:t>
      </w:r>
    </w:p>
    <w:p>
      <w:pPr>
        <w:pStyle w:val="TextBody"/>
        <w:bidi w:val="0"/>
        <w:spacing w:lineRule="auto" w:line="288" w:before="480" w:after="48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w:t>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CURRENT REPORT PURSUANT TO</w:t>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SECTION 13 OR 15(d) OF THE</w:t>
      </w:r>
    </w:p>
    <w:p>
      <w:pPr>
        <w:pStyle w:val="TextBody"/>
        <w:bidi w:val="0"/>
        <w:spacing w:lineRule="auto" w:line="288" w:before="0" w:after="48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SECURITIES EXCHANGE ACT OF 1934</w:t>
      </w:r>
    </w:p>
    <w:p>
      <w:pPr>
        <w:pStyle w:val="TextBody"/>
        <w:bidi w:val="0"/>
        <w:spacing w:lineRule="auto" w:line="288" w:before="0" w:after="240"/>
        <w:jc w:val="center"/>
        <w:rPr/>
      </w:pPr>
      <w:r>
        <w:rPr>
          <w:rFonts w:ascii="Times New Roman;serif" w:hAnsi="Times New Roman;serif"/>
          <w:b w:val="false"/>
          <w:color w:val="000000"/>
          <w:sz w:val="20"/>
          <w:shd w:fill="FFFFFF" w:val="clear"/>
        </w:rPr>
        <w:t xml:space="preserve">Date of Report (Date of earliest event reported): </w:t>
      </w:r>
      <w:r>
        <w:rPr>
          <w:rFonts w:ascii="Times New Roman;serif" w:hAnsi="Times New Roman;serif"/>
          <w:b w:val="false"/>
          <w:color w:val="000000"/>
          <w:sz w:val="20"/>
        </w:rPr>
        <w:t>July 30, 2026</w:t>
      </w:r>
    </w:p>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ENTERPRISE PRODUCTS PARTNERS L.P.</w:t>
      </w:r>
    </w:p>
    <w:p>
      <w:pPr>
        <w:pStyle w:val="TextBody"/>
        <w:bidi w:val="0"/>
        <w:spacing w:lineRule="auto" w:line="288" w:before="0" w:after="24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(Exact Name of Registrant as Specified in Charter)</w:t>
      </w:r>
    </w:p>
    <w:tbl>
      <w:tblPr>
        <w:tblW w:w="6447" w:type="dxa"/>
        <w:jc w:val="left"/>
        <w:tblInd w:w="0" w:type="dxa"/>
        <w:tblLayout w:type="fixed"/>
        <w:tblCellMar>
          <w:top w:w="28" w:type="dxa"/>
          <w:left w:w="28" w:type="dxa"/>
          <w:bottom w:w="28" w:type="dxa"/>
          <w:right w:w="28" w:type="dxa"/>
        </w:tblCellMar>
      </w:tblPr>
      <w:tblGrid>
        <w:gridCol w:w="905"/>
        <w:gridCol w:w="795"/>
        <w:gridCol w:w="804"/>
        <w:gridCol w:w="762"/>
        <w:gridCol w:w="762"/>
        <w:gridCol w:w="770"/>
        <w:gridCol w:w="481"/>
        <w:gridCol w:w="481"/>
        <w:gridCol w:w="687"/>
      </w:tblGrid>
      <w:tr>
        <w:trPr/>
        <w:tc>
          <w:tcPr>
            <w:tcW w:w="90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1-14323</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76-0568219</w:t>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tbl>
      <w:tblPr>
        <w:tblW w:w="5400" w:type="dxa"/>
        <w:jc w:val="left"/>
        <w:tblInd w:w="0" w:type="dxa"/>
        <w:tblLayout w:type="fixed"/>
        <w:tblCellMar>
          <w:top w:w="28" w:type="dxa"/>
          <w:left w:w="28" w:type="dxa"/>
          <w:bottom w:w="28" w:type="dxa"/>
          <w:right w:w="28" w:type="dxa"/>
        </w:tblCellMar>
      </w:tblPr>
      <w:tblGrid>
        <w:gridCol w:w="1579"/>
        <w:gridCol w:w="1391"/>
        <w:gridCol w:w="1395"/>
        <w:gridCol w:w="303"/>
        <w:gridCol w:w="303"/>
        <w:gridCol w:w="429"/>
      </w:tblGrid>
      <w:tr>
        <w:trPr/>
        <w:tc>
          <w:tcPr>
            <w:tcW w:w="157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1100 Louisiana Street, 10th Floor, Houston, Texas</w:t>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77002</w:t>
            </w:r>
          </w:p>
        </w:tc>
      </w:tr>
      <w:tr>
        <w:trPr/>
        <w:tc>
          <w:tcPr>
            <w:tcW w:w="43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240"/>
        <w:jc w:val="center"/>
        <w:rPr/>
      </w:pPr>
      <w:r>
        <w:rPr>
          <w:rFonts w:ascii="Times New Roman;serif" w:hAnsi="Times New Roman;serif"/>
          <w:b w:val="false"/>
          <w:color w:val="000000"/>
          <w:sz w:val="20"/>
          <w:shd w:fill="FFFFFF" w:val="clear"/>
        </w:rPr>
        <w:t xml:space="preserve">Registrant’s telephone number, including area code: </w:t>
      </w:r>
      <w:r>
        <w:rPr>
          <w:rFonts w:ascii="Times New Roman;serif" w:hAnsi="Times New Roman;serif"/>
          <w:b/>
          <w:color w:val="000000"/>
          <w:sz w:val="20"/>
          <w:shd w:fill="FFFFFF" w:val="clear"/>
        </w:rPr>
        <w:t>(713) 381-6500</w:t>
      </w:r>
    </w:p>
    <w:p>
      <w:pPr>
        <w:pStyle w:val="TextBody"/>
        <w:bidi w:val="0"/>
        <w:spacing w:lineRule="auto" w:line="288" w:before="0" w:after="240"/>
        <w:jc w:val="both"/>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Check the appropriate box below if the Form 8-K filing is intended to simultaneously satisfy the filing obligation of the registrant under any of the following provisions:</w:t>
      </w:r>
    </w:p>
    <w:p>
      <w:pPr>
        <w:pStyle w:val="TextBody"/>
        <w:bidi w:val="0"/>
        <w:spacing w:lineRule="auto" w:line="288" w:before="0" w:after="240"/>
        <w:jc w:val="both"/>
        <w:rPr>
          <w:color w:val="000000"/>
          <w:shd w:fill="FFFFFF" w:val="clear"/>
        </w:rPr>
      </w:pPr>
      <w:r>
        <w:rPr>
          <w:color w:val="000000"/>
          <w:shd w:fill="FFFFFF" w:val="clear"/>
        </w:rPr>
        <w:t xml:space="preserve">☐ </w:t>
      </w:r>
      <w:r>
        <w:rPr>
          <w:rFonts w:ascii="Times New Roman;serif" w:hAnsi="Times New Roman;serif"/>
          <w:b w:val="false"/>
          <w:color w:val="000000"/>
          <w:sz w:val="18"/>
          <w:shd w:fill="FFFFFF" w:val="clear"/>
        </w:rPr>
        <w:t>Written communications pursuant to Rule 425 under the Securities Act (17 CFR 230.425)</w:t>
      </w:r>
    </w:p>
    <w:p>
      <w:pPr>
        <w:pStyle w:val="TextBody"/>
        <w:bidi w:val="0"/>
        <w:spacing w:lineRule="auto" w:line="288" w:before="0" w:after="240"/>
        <w:jc w:val="both"/>
        <w:rPr>
          <w:color w:val="000000"/>
          <w:shd w:fill="FFFFFF" w:val="clear"/>
        </w:rPr>
      </w:pPr>
      <w:r>
        <w:rPr>
          <w:color w:val="000000"/>
          <w:shd w:fill="FFFFFF" w:val="clear"/>
        </w:rPr>
        <w:t xml:space="preserve">☐ </w:t>
      </w:r>
      <w:r>
        <w:rPr>
          <w:rFonts w:ascii="Times New Roman;serif" w:hAnsi="Times New Roman;serif"/>
          <w:b w:val="false"/>
          <w:color w:val="000000"/>
          <w:sz w:val="18"/>
          <w:shd w:fill="FFFFFF" w:val="clear"/>
        </w:rPr>
        <w:t>Soliciting material pursuant to Rule 14a-12 under the Exchange Act (17 CFR 240.14a-12)</w:t>
      </w:r>
    </w:p>
    <w:p>
      <w:pPr>
        <w:pStyle w:val="TextBody"/>
        <w:bidi w:val="0"/>
        <w:spacing w:lineRule="auto" w:line="288" w:before="0" w:after="240"/>
        <w:jc w:val="both"/>
        <w:rPr>
          <w:color w:val="000000"/>
          <w:shd w:fill="FFFFFF" w:val="clear"/>
        </w:rPr>
      </w:pPr>
      <w:r>
        <w:rPr>
          <w:color w:val="000000"/>
          <w:shd w:fill="FFFFFF" w:val="clear"/>
        </w:rPr>
        <w:t xml:space="preserve">☐ </w:t>
      </w:r>
      <w:r>
        <w:rPr>
          <w:rFonts w:ascii="Times New Roman;serif" w:hAnsi="Times New Roman;serif"/>
          <w:b w:val="false"/>
          <w:color w:val="000000"/>
          <w:sz w:val="18"/>
          <w:shd w:fill="FFFFFF" w:val="clear"/>
        </w:rPr>
        <w:t>Pre-commencement communications pursuant to Rule 14d-2(b) under the Exchange Act (17 CFR 240.14d-2(b))</w:t>
      </w:r>
    </w:p>
    <w:p>
      <w:pPr>
        <w:pStyle w:val="TextBody"/>
        <w:bidi w:val="0"/>
        <w:spacing w:lineRule="auto" w:line="288" w:before="0" w:after="240"/>
        <w:jc w:val="both"/>
        <w:rPr>
          <w:color w:val="000000"/>
          <w:shd w:fill="FFFFFF" w:val="clear"/>
        </w:rPr>
      </w:pPr>
      <w:r>
        <w:rPr>
          <w:color w:val="000000"/>
          <w:shd w:fill="FFFFFF" w:val="clear"/>
        </w:rPr>
        <w:t xml:space="preserve">☐ </w:t>
      </w:r>
      <w:r>
        <w:rPr>
          <w:rFonts w:ascii="Times New Roman;serif" w:hAnsi="Times New Roman;serif"/>
          <w:b w:val="false"/>
          <w:color w:val="000000"/>
          <w:sz w:val="18"/>
          <w:shd w:fill="FFFFFF" w:val="clear"/>
        </w:rPr>
        <w:t>Pre-commencement communications pursuant to Rule 13e-4(c) under the Exchange Act (17 CFR 240.13e-4(c))</w:t>
      </w:r>
    </w:p>
    <w:p>
      <w:pPr>
        <w:pStyle w:val="TextBody"/>
        <w:bidi w:val="0"/>
        <w:spacing w:lineRule="auto" w:line="288" w:before="0" w:after="240"/>
        <w:jc w:val="both"/>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Securities registered pursuant to Section 12(b) of the Securities Exchange Act of 1934:</w:t>
      </w:r>
    </w:p>
    <w:tbl>
      <w:tblPr>
        <w:tblW w:w="6839" w:type="dxa"/>
        <w:jc w:val="left"/>
        <w:tblInd w:w="0" w:type="dxa"/>
        <w:tblLayout w:type="fixed"/>
        <w:tblCellMar>
          <w:top w:w="28" w:type="dxa"/>
          <w:left w:w="28" w:type="dxa"/>
          <w:bottom w:w="28" w:type="dxa"/>
          <w:right w:w="28" w:type="dxa"/>
        </w:tblCellMar>
      </w:tblPr>
      <w:tblGrid>
        <w:gridCol w:w="565"/>
        <w:gridCol w:w="496"/>
        <w:gridCol w:w="499"/>
        <w:gridCol w:w="519"/>
        <w:gridCol w:w="519"/>
        <w:gridCol w:w="521"/>
        <w:gridCol w:w="1088"/>
        <w:gridCol w:w="1088"/>
        <w:gridCol w:w="1544"/>
      </w:tblGrid>
      <w:tr>
        <w:trPr/>
        <w:tc>
          <w:tcPr>
            <w:tcW w:w="56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Symbol(s)</w:t>
            </w:r>
          </w:p>
        </w:tc>
        <w:tc>
          <w:tcPr>
            <w:tcW w:w="37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Units</w:t>
            </w:r>
          </w:p>
        </w:tc>
        <w:tc>
          <w:tcPr>
            <w:tcW w:w="15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EPD</w:t>
            </w:r>
          </w:p>
        </w:tc>
        <w:tc>
          <w:tcPr>
            <w:tcW w:w="37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lineRule="auto" w:line="288" w:before="0" w:after="240"/>
        <w:jc w:val="both"/>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240"/>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Emerging growth company ☐</w:t>
      </w:r>
    </w:p>
    <w:p>
      <w:pPr>
        <w:pStyle w:val="TextBody"/>
        <w:bidi w:val="0"/>
        <w:spacing w:lineRule="auto" w:line="288" w:before="0" w:after="240"/>
        <w:jc w:val="both"/>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before="0" w:after="240"/>
        <w:jc w:val="center"/>
        <w:rPr/>
      </w:pPr>
      <w:r>
        <w:rPr/>
      </w:r>
    </w:p>
    <w:p>
      <w:pPr>
        <w:pStyle w:val="TextBody"/>
        <w:bidi w:val="0"/>
        <w:spacing w:lineRule="auto" w:line="288" w:before="0" w:after="8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Additional Revolving Credit Agreement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To provide an incremental $1.0 billion of borrowing capacity in addition to the aggregate $4.2 billion of borrowing capacity currently available under its existing credit agreements, on July 28, 2026, Enterprise Products Operating LLC, a Texas limited liability company (“EPO”) and the operating subsidiary of Enterprise Products Partners L.P., a Delaware limited partnership (the “Partnership”), entered into an additional Revolving Credit Agreement among EPO, as Borrower, the Lenders party thereto, Citibank, N.A., as Administrative Agent, and certain financial institutions named therein, as Co-Syndication Agents and Co-Documentation Agents (the “Additional Credit Agreement”). Under the terms of the Additional Credit Agreement, EPO may borrow up to $1.0 billion at a variable interest rate, subject to the terms and conditions set forth therein.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EPO may use the proceeds from loans under the Additional Credit Agreement for working capital, capital expenditures, acquisitions and other company purposes.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EPO’s obligations under the Additional Credit Agreement are not secured by any collateral; however, they are guaranteed by the Partnership pursuant to a Guaranty Agreement (the “Guaranty Agreement”). Amounts borrowed under the Additional Credit Agreement mature on March 26, 2027.</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addition to interest payments on outstanding borrowings, on a quarterly basis, EPO is required to pay a facility fee on each lender’s commitment irrespective of commitment usage. The facility fee amount and the applicable rate spread for loans under the Additional Credit Agreement will vary based on EPO’s senior debt credit rating.</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Additional Credit Agreement contains customary representations, warranties, covenants (affirmative and negative) and events of default, the occurrence of which would permit the lenders to accelerate the maturity date of amounts borrowed under the Additional Credit Agreement. The Additional Credit Agreement also restricts EPO’s ability to pay cash distributions to the Partnership if an event of default (as defined in the Additional Credit Agreement) has occurred and is continuing at the time such distribution is scheduled to be paid or would result therefrom.</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descriptions of the Additional Credit Agreement and the Guaranty Agreement in this Item 1.01 are qualified in their entirety by reference to the full text of the Additional Credit Agreement and the Guaranty Agreement, which are filed as Exhibits 10.1 and 10.2 hereto, respectively, and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2.02 Results of Operations and Financial Condition.</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On </w:t>
      </w:r>
      <w:r>
        <w:rPr>
          <w:rFonts w:ascii="Times New Roman;serif" w:hAnsi="Times New Roman;serif"/>
          <w:b w:val="false"/>
          <w:color w:val="000000"/>
          <w:sz w:val="20"/>
        </w:rPr>
        <w:t>July 30, 2026</w:t>
      </w:r>
      <w:r>
        <w:rPr>
          <w:rFonts w:ascii="Times New Roman;serif" w:hAnsi="Times New Roman;serif"/>
          <w:b w:val="false"/>
          <w:color w:val="000000"/>
          <w:sz w:val="20"/>
          <w:shd w:fill="FFFFFF" w:val="clear"/>
        </w:rPr>
        <w:t xml:space="preserve">, the Partnership (NYSE:EPD) issued a press release announcing its financial and operating results for the three months ended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and will hold a webcast conference call discussing those results. A copy of the earnings press release is furnished as Exhibit 99.1 to this Current Report, which is hereby incorporated by reference into this Item 2.02.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2.03 Creation of a Direct Financial Obligation or an Obligation under an Off-Balance Sheet Arrangement of a Registrant.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July 28, 2026, EPO entered into the Additional Credit Agreement. The information relating to the Additional Credit Agreement and related Guaranty Agreement, as set forth under Item 1.01, is incorporated by reference into this Item 2.03. The Additional Credit Agreement is filed as Exhibit 10.1 hereto, the Guaranty Agreement is filed as Exhibit 10.2 hereto, and each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240"/>
        <w:jc w:val="center"/>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9.01 Financial Statements and Exhibits.</w:t>
      </w:r>
    </w:p>
    <w:p>
      <w:pPr>
        <w:pStyle w:val="TextBody"/>
        <w:bidi w:val="0"/>
        <w:spacing w:lineRule="auto" w:line="288" w:before="0" w:after="24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 Exhibits.</w:t>
      </w:r>
    </w:p>
    <w:tbl>
      <w:tblPr>
        <w:tblW w:w="10205" w:type="dxa"/>
        <w:jc w:val="left"/>
        <w:tblInd w:w="0" w:type="dxa"/>
        <w:tblLayout w:type="fixed"/>
        <w:tblCellMar>
          <w:top w:w="28" w:type="dxa"/>
          <w:left w:w="28" w:type="dxa"/>
          <w:bottom w:w="28" w:type="dxa"/>
          <w:right w:w="28" w:type="dxa"/>
        </w:tblCellMar>
      </w:tblPr>
      <w:tblGrid>
        <w:gridCol w:w="306"/>
        <w:gridCol w:w="269"/>
        <w:gridCol w:w="272"/>
        <w:gridCol w:w="2739"/>
        <w:gridCol w:w="2739"/>
        <w:gridCol w:w="3880"/>
      </w:tblGrid>
      <w:tr>
        <w:trPr/>
        <w:tc>
          <w:tcPr>
            <w:tcW w:w="30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9" w:type="dxa"/>
            <w:tcBorders/>
            <w:vAlign w:val="center"/>
          </w:tcPr>
          <w:p>
            <w:pPr>
              <w:pStyle w:val="TableContents"/>
              <w:bidi w:val="0"/>
              <w:spacing w:before="0" w:after="283"/>
              <w:jc w:val="left"/>
              <w:rPr>
                <w:sz w:val="4"/>
                <w:szCs w:val="4"/>
              </w:rPr>
            </w:pPr>
            <w:r>
              <w:rPr>
                <w:sz w:val="4"/>
                <w:szCs w:val="4"/>
              </w:rPr>
            </w:r>
          </w:p>
        </w:tc>
        <w:tc>
          <w:tcPr>
            <w:tcW w:w="2739" w:type="dxa"/>
            <w:tcBorders/>
            <w:vAlign w:val="center"/>
          </w:tcPr>
          <w:p>
            <w:pPr>
              <w:pStyle w:val="TableContents"/>
              <w:bidi w:val="0"/>
              <w:spacing w:before="0" w:after="283"/>
              <w:jc w:val="left"/>
              <w:rPr>
                <w:sz w:val="4"/>
                <w:szCs w:val="4"/>
              </w:rPr>
            </w:pPr>
            <w:r>
              <w:rPr>
                <w:sz w:val="4"/>
                <w:szCs w:val="4"/>
              </w:rPr>
            </w:r>
          </w:p>
        </w:tc>
        <w:tc>
          <w:tcPr>
            <w:tcW w:w="3880" w:type="dxa"/>
            <w:tcBorders/>
            <w:vAlign w:val="center"/>
          </w:tcPr>
          <w:p>
            <w:pPr>
              <w:pStyle w:val="TableContents"/>
              <w:bidi w:val="0"/>
              <w:spacing w:before="0" w:after="283"/>
              <w:jc w:val="left"/>
              <w:rPr>
                <w:sz w:val="4"/>
                <w:szCs w:val="4"/>
              </w:rPr>
            </w:pPr>
            <w:r>
              <w:rPr>
                <w:sz w:val="4"/>
                <w:szCs w:val="4"/>
              </w:rPr>
            </w:r>
          </w:p>
        </w:tc>
      </w:tr>
      <w:tr>
        <w:trPr/>
        <w:tc>
          <w:tcPr>
            <w:tcW w:w="8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93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8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3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pd-20260730xex101.htm">
              <w:r>
                <w:rPr>
                  <w:rStyle w:val="InternetLink"/>
                  <w:rFonts w:ascii="Times New Roman;serif" w:hAnsi="Times New Roman;serif"/>
                  <w:b w:val="false"/>
                  <w:color w:val="0000FF"/>
                  <w:sz w:val="20"/>
                  <w:u w:val="single"/>
                </w:rPr>
                <w:t>Revolving Credit Agreement, dated as of July 28, 2026, by and among Enterprise Products Operating LLC, as Borrower, the Lenders party thereto, Citibank, N.A., as Administrative Agent, and certain financial institutions named therein, as Co-Syndication Agents and Co-Documentation Agents.</w:t>
              </w:r>
            </w:hyperlink>
          </w:p>
        </w:tc>
      </w:tr>
      <w:tr>
        <w:trPr/>
        <w:tc>
          <w:tcPr>
            <w:tcW w:w="8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93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pd-20260730xex102.htm">
              <w:r>
                <w:rPr>
                  <w:rStyle w:val="InternetLink"/>
                  <w:rFonts w:ascii="Times New Roman;serif" w:hAnsi="Times New Roman;serif"/>
                  <w:b w:val="false"/>
                  <w:color w:val="0000FF"/>
                  <w:sz w:val="20"/>
                  <w:u w:val="single"/>
                </w:rPr>
                <w:t>Guaranty Agreement, dated as of July 28, 2026, by Enterprise Products Partners L.P. in favor of Citibank, N.A., as administrative agent.</w:t>
              </w:r>
            </w:hyperlink>
          </w:p>
        </w:tc>
      </w:tr>
      <w:tr>
        <w:trPr/>
        <w:tc>
          <w:tcPr>
            <w:tcW w:w="8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93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pd-20260730xex991q.htm">
              <w:r>
                <w:rPr>
                  <w:rStyle w:val="InternetLink"/>
                  <w:rFonts w:ascii="Times New Roman;serif" w:hAnsi="Times New Roman;serif"/>
                  <w:b w:val="false"/>
                  <w:color w:val="000080"/>
                  <w:sz w:val="20"/>
                  <w:u w:val="single"/>
                </w:rPr>
                <w:t xml:space="preserve">Enterprise Products Partners L.P. earnings press release dated July </w:t>
              </w:r>
            </w:hyperlink>
            <w:hyperlink w:anchor="epd-20260730xex991q.htm">
              <w:r>
                <w:rPr>
                  <w:rStyle w:val="InternetLink"/>
                  <w:rFonts w:ascii="Times New Roman;serif" w:hAnsi="Times New Roman;serif"/>
                  <w:b w:val="false"/>
                  <w:color w:val="000080"/>
                  <w:sz w:val="20"/>
                  <w:u w:val="single"/>
                </w:rPr>
                <w:t>30</w:t>
              </w:r>
            </w:hyperlink>
            <w:hyperlink w:anchor="epd-20260730xex991q.htm">
              <w:r>
                <w:rPr>
                  <w:rStyle w:val="InternetLink"/>
                  <w:rFonts w:ascii="Times New Roman;serif" w:hAnsi="Times New Roman;serif"/>
                  <w:b w:val="false"/>
                  <w:color w:val="000080"/>
                  <w:sz w:val="20"/>
                  <w:u w:val="single"/>
                </w:rPr>
                <w:t>, 2026.</w:t>
              </w:r>
            </w:hyperlink>
          </w:p>
        </w:tc>
      </w:tr>
      <w:tr>
        <w:trPr/>
        <w:tc>
          <w:tcPr>
            <w:tcW w:w="8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3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File–the cover page interactive data file does not appear in the Interactive Data File because its XBRL tags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hereunto duly authorized.</w:t>
      </w:r>
    </w:p>
    <w:tbl>
      <w:tblPr>
        <w:tblW w:w="10205" w:type="dxa"/>
        <w:jc w:val="left"/>
        <w:tblInd w:w="0" w:type="dxa"/>
        <w:tblLayout w:type="fixed"/>
        <w:tblCellMar>
          <w:top w:w="28" w:type="dxa"/>
          <w:left w:w="28" w:type="dxa"/>
          <w:bottom w:w="28" w:type="dxa"/>
          <w:right w:w="28" w:type="dxa"/>
        </w:tblCellMar>
      </w:tblPr>
      <w:tblGrid>
        <w:gridCol w:w="578"/>
        <w:gridCol w:w="509"/>
        <w:gridCol w:w="512"/>
        <w:gridCol w:w="577"/>
        <w:gridCol w:w="577"/>
        <w:gridCol w:w="577"/>
        <w:gridCol w:w="2016"/>
        <w:gridCol w:w="1995"/>
        <w:gridCol w:w="2864"/>
      </w:tblGrid>
      <w:tr>
        <w:trPr/>
        <w:tc>
          <w:tcPr>
            <w:tcW w:w="57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2864" w:type="dxa"/>
            <w:tcBorders/>
            <w:vAlign w:val="center"/>
          </w:tcPr>
          <w:p>
            <w:pPr>
              <w:pStyle w:val="TableContents"/>
              <w:bidi w:val="0"/>
              <w:spacing w:before="0" w:after="283"/>
              <w:jc w:val="left"/>
              <w:rPr>
                <w:sz w:val="4"/>
                <w:szCs w:val="4"/>
              </w:rPr>
            </w:pPr>
            <w:r>
              <w:rPr>
                <w:sz w:val="4"/>
                <w:szCs w:val="4"/>
              </w:rPr>
            </w:r>
          </w:p>
        </w:tc>
      </w:tr>
      <w:tr>
        <w:trPr/>
        <w:tc>
          <w:tcPr>
            <w:tcW w:w="159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ENTERPRISE PRODUCTS PARTNERS L.P.</w:t>
            </w:r>
          </w:p>
        </w:tc>
      </w:tr>
      <w:tr>
        <w:trPr/>
        <w:tc>
          <w:tcPr>
            <w:tcW w:w="1599" w:type="dxa"/>
            <w:gridSpan w:val="3"/>
            <w:vMerge w:val="continue"/>
            <w:tcBorders/>
            <w:tcMar>
              <w:top w:w="0" w:type="dxa"/>
              <w:left w:w="0" w:type="dxa"/>
              <w:bottom w:w="0" w:type="dxa"/>
              <w:right w:w="0" w:type="dxa"/>
            </w:tcMar>
            <w:vAlign w:val="center"/>
          </w:tcPr>
          <w:p>
            <w:pPr>
              <w:pStyle w:val="Normal"/>
              <w:bidi w:val="0"/>
              <w:jc w:val="left"/>
              <w:rPr/>
            </w:pPr>
            <w:r>
              <w:rPr/>
            </w:r>
          </w:p>
        </w:tc>
        <w:tc>
          <w:tcPr>
            <w:tcW w:w="17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8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Enterprise Products Holdings LLC,</w:t>
              <w:br/>
              <w:t>   its General Partner</w:t>
            </w:r>
          </w:p>
        </w:tc>
      </w:tr>
      <w:tr>
        <w:trPr/>
        <w:tc>
          <w:tcPr>
            <w:tcW w:w="1599" w:type="dxa"/>
            <w:gridSpan w:val="3"/>
            <w:vMerge w:val="continue"/>
            <w:tcBorders/>
            <w:tcMar>
              <w:top w:w="0" w:type="dxa"/>
              <w:left w:w="0" w:type="dxa"/>
              <w:bottom w:w="0" w:type="dxa"/>
              <w:right w:w="0" w:type="dxa"/>
            </w:tcMar>
            <w:vAlign w:val="center"/>
          </w:tcPr>
          <w:p>
            <w:pPr>
              <w:pStyle w:val="Normal"/>
              <w:bidi w:val="0"/>
              <w:jc w:val="left"/>
              <w:rPr/>
            </w:pPr>
            <w:r>
              <w:rPr/>
            </w:r>
          </w:p>
        </w:tc>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30, 2026</w:t>
            </w:r>
          </w:p>
        </w:tc>
        <w:tc>
          <w:tcPr>
            <w:tcW w:w="17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8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/s/ R. Daniel Boss</w:t>
            </w:r>
          </w:p>
        </w:tc>
      </w:tr>
      <w:tr>
        <w:trPr/>
        <w:tc>
          <w:tcPr>
            <w:tcW w:w="159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68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 Daniel Boss</w:t>
            </w:r>
          </w:p>
        </w:tc>
      </w:tr>
      <w:tr>
        <w:trPr/>
        <w:tc>
          <w:tcPr>
            <w:tcW w:w="1599" w:type="dxa"/>
            <w:gridSpan w:val="3"/>
            <w:vMerge w:val="continue"/>
            <w:tcBorders/>
            <w:tcMar>
              <w:top w:w="0" w:type="dxa"/>
              <w:left w:w="0" w:type="dxa"/>
              <w:bottom w:w="0" w:type="dxa"/>
              <w:right w:w="0" w:type="dxa"/>
            </w:tcMar>
            <w:vAlign w:val="center"/>
          </w:tcPr>
          <w:p>
            <w:pPr>
              <w:pStyle w:val="Normal"/>
              <w:bidi w:val="0"/>
              <w:jc w:val="left"/>
              <w:rPr/>
            </w:pPr>
            <w:r>
              <w:rPr/>
            </w:r>
          </w:p>
        </w:tc>
        <w:tc>
          <w:tcPr>
            <w:tcW w:w="17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68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 of Enterprise Products Holdings LLC</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right"/>
        <w:rPr>
          <w:rFonts w:ascii="Times New Roman;serif" w:hAnsi="Times New Roman;serif"/>
          <w:b/>
          <w:i/>
          <w:color w:val="000000"/>
          <w:sz w:val="24"/>
        </w:rPr>
      </w:pPr>
      <w:r>
        <w:rPr>
          <w:rFonts w:ascii="Times New Roman;serif" w:hAnsi="Times New Roman;serif"/>
          <w:b/>
          <w:i/>
          <w:color w:val="000000"/>
          <w:sz w:val="24"/>
        </w:rPr>
        <w:t>Exhibit 10.1</w:t>
      </w:r>
    </w:p>
    <w:p>
      <w:pPr>
        <w:pStyle w:val="TextBody"/>
        <w:bidi w:val="0"/>
        <w:spacing w:before="0" w:after="0"/>
        <w:jc w:val="right"/>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REVOLVING CREDIT AGREEMENT</w:t>
      </w:r>
    </w:p>
    <w:p>
      <w:pPr>
        <w:pStyle w:val="TextBody"/>
        <w:bidi w:val="0"/>
        <w:spacing w:before="0" w:after="0"/>
        <w:jc w:val="center"/>
        <w:rPr/>
      </w:pPr>
      <w:r>
        <w:rPr/>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dated as of</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July 28, 2026</w:t>
      </w:r>
    </w:p>
    <w:p>
      <w:pPr>
        <w:pStyle w:val="TextBody"/>
        <w:bidi w:val="0"/>
        <w:spacing w:lineRule="auto" w:line="288" w:before="0" w:after="480"/>
        <w:jc w:val="center"/>
        <w:rPr>
          <w:rFonts w:ascii="Times New Roman;serif" w:hAnsi="Times New Roman;serif"/>
          <w:b w:val="false"/>
          <w:color w:val="000000"/>
          <w:sz w:val="24"/>
        </w:rPr>
      </w:pPr>
      <w:r>
        <w:rPr>
          <w:rFonts w:ascii="Times New Roman;serif" w:hAnsi="Times New Roman;serif"/>
          <w:b w:val="false"/>
          <w:color w:val="000000"/>
          <w:sz w:val="24"/>
        </w:rPr>
        <w:t>among</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ENTERPRISE PRODUCTS OPERATING LLC,</w:t>
      </w:r>
    </w:p>
    <w:p>
      <w:pPr>
        <w:pStyle w:val="TextBody"/>
        <w:bidi w:val="0"/>
        <w:spacing w:lineRule="auto" w:line="288" w:before="0" w:after="480"/>
        <w:jc w:val="center"/>
        <w:rPr>
          <w:rFonts w:ascii="Times New Roman;serif" w:hAnsi="Times New Roman;serif"/>
          <w:b w:val="false"/>
          <w:color w:val="000000"/>
          <w:sz w:val="24"/>
        </w:rPr>
      </w:pPr>
      <w:r>
        <w:rPr>
          <w:rFonts w:ascii="Times New Roman;serif" w:hAnsi="Times New Roman;serif"/>
          <w:b w:val="false"/>
          <w:color w:val="000000"/>
          <w:sz w:val="24"/>
        </w:rPr>
        <w:t>as Borrower</w:t>
      </w:r>
    </w:p>
    <w:p>
      <w:pPr>
        <w:pStyle w:val="TextBody"/>
        <w:bidi w:val="0"/>
        <w:spacing w:lineRule="auto" w:line="288" w:before="0" w:after="480"/>
        <w:jc w:val="center"/>
        <w:rPr>
          <w:rFonts w:ascii="Times New Roman;serif" w:hAnsi="Times New Roman;serif"/>
          <w:b w:val="false"/>
          <w:color w:val="000000"/>
          <w:sz w:val="24"/>
        </w:rPr>
      </w:pPr>
      <w:r>
        <w:rPr>
          <w:rFonts w:ascii="Times New Roman;serif" w:hAnsi="Times New Roman;serif"/>
          <w:b w:val="false"/>
          <w:color w:val="000000"/>
          <w:sz w:val="24"/>
        </w:rPr>
        <w:t>The Lenders Party Hereto</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CITIBANK, N.A.,</w:t>
      </w:r>
    </w:p>
    <w:p>
      <w:pPr>
        <w:pStyle w:val="TextBody"/>
        <w:bidi w:val="0"/>
        <w:spacing w:lineRule="auto" w:line="288" w:before="0" w:after="480"/>
        <w:jc w:val="center"/>
        <w:rPr>
          <w:rFonts w:ascii="Times New Roman;serif" w:hAnsi="Times New Roman;serif"/>
          <w:b w:val="false"/>
          <w:color w:val="000000"/>
          <w:sz w:val="24"/>
        </w:rPr>
      </w:pPr>
      <w:r>
        <w:rPr>
          <w:rFonts w:ascii="Times New Roman;serif" w:hAnsi="Times New Roman;serif"/>
          <w:b w:val="false"/>
          <w:color w:val="000000"/>
          <w:sz w:val="24"/>
        </w:rPr>
        <w:t>as Administrative Agent</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WELLS FARGO BANK, NATIONAL ASSOCIATION, JPMORGAN CHASE BANK, N.A., MIZUHO BANK, LTD., MUFG BANK, LTD., and TRUIST BANK,</w:t>
      </w:r>
    </w:p>
    <w:p>
      <w:pPr>
        <w:pStyle w:val="TextBody"/>
        <w:bidi w:val="0"/>
        <w:spacing w:lineRule="auto" w:line="288" w:before="0" w:after="480"/>
        <w:jc w:val="center"/>
        <w:rPr>
          <w:rFonts w:ascii="Times New Roman;serif" w:hAnsi="Times New Roman;serif"/>
          <w:b w:val="false"/>
          <w:color w:val="000000"/>
          <w:sz w:val="24"/>
        </w:rPr>
      </w:pPr>
      <w:r>
        <w:rPr>
          <w:rFonts w:ascii="Times New Roman;serif" w:hAnsi="Times New Roman;serif"/>
          <w:b w:val="false"/>
          <w:color w:val="000000"/>
          <w:sz w:val="24"/>
        </w:rPr>
        <w:t>as Co-Syndication Agents</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BARCLAYS BANK PLC, ROYAL BANK OF CANADA,</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SUMITOMO MITSUI BANKING CORPORATION,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THE BANK OF NOVA SCOTIA, HOUSTON BRANCH and</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THE TORONTO-DOMINION BANK, NEW YORK BRANCH,</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as Co-Documentation Agents</w:t>
      </w:r>
    </w:p>
    <w:p>
      <w:pPr>
        <w:pStyle w:val="TextBody"/>
        <w:bidi w:val="0"/>
        <w:spacing w:before="0" w:after="0"/>
        <w:jc w:val="center"/>
        <w:rPr/>
      </w:pPr>
      <w:r>
        <w:rPr/>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______________________________</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CITIBANK, N.A., WELLS FARGO SECURITIES, LLC,</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BARCLAYS BANK PLC, JPMORGAN CHASE BANK, N.A., MIZUHO BANK, LTD.,</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MUFG BANK, LTD. RBC CAPITAL MARKETS,</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SUMITOMO MITSUI BANKING CORPORATION,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TD SECURITIES (USA) LLC, THE BANK OF NOVA SCOTIA, and</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TRUIST SECURITIES, INC.,</w:t>
      </w:r>
    </w:p>
    <w:p>
      <w:pPr>
        <w:pStyle w:val="TextBody"/>
        <w:bidi w:val="0"/>
        <w:spacing w:lineRule="auto" w:line="288" w:before="0" w:after="480"/>
        <w:jc w:val="center"/>
        <w:rPr>
          <w:rFonts w:ascii="Times New Roman;serif" w:hAnsi="Times New Roman;serif"/>
          <w:b w:val="false"/>
          <w:color w:val="000000"/>
          <w:sz w:val="24"/>
        </w:rPr>
      </w:pPr>
      <w:r>
        <w:rPr>
          <w:rFonts w:ascii="Times New Roman;serif" w:hAnsi="Times New Roman;serif"/>
          <w:b w:val="false"/>
          <w:color w:val="000000"/>
          <w:sz w:val="24"/>
        </w:rPr>
        <w:t>as Joint Lead Arrangers and Joint Bookrunners</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$1,000,000,000 Revolving Credit Facility</w:t>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TABLE OF CONTENTS</w:t>
      </w:r>
    </w:p>
    <w:tbl>
      <w:tblPr>
        <w:tblW w:w="7920" w:type="dxa"/>
        <w:jc w:val="left"/>
        <w:tblInd w:w="0" w:type="dxa"/>
        <w:tblLayout w:type="fixed"/>
        <w:tblCellMar>
          <w:top w:w="28" w:type="dxa"/>
          <w:left w:w="28" w:type="dxa"/>
          <w:bottom w:w="28" w:type="dxa"/>
          <w:right w:w="28" w:type="dxa"/>
        </w:tblCellMar>
      </w:tblPr>
      <w:tblGrid>
        <w:gridCol w:w="2728"/>
        <w:gridCol w:w="2398"/>
        <w:gridCol w:w="2403"/>
        <w:gridCol w:w="114"/>
        <w:gridCol w:w="114"/>
        <w:gridCol w:w="163"/>
      </w:tblGrid>
      <w:tr>
        <w:trPr/>
        <w:tc>
          <w:tcPr>
            <w:tcW w:w="2728" w:type="dxa"/>
            <w:tcBorders/>
            <w:vAlign w:val="center"/>
          </w:tcPr>
          <w:p>
            <w:pPr>
              <w:pStyle w:val="TableContents"/>
              <w:bidi w:val="0"/>
              <w:spacing w:before="0" w:after="283"/>
              <w:jc w:val="left"/>
              <w:rPr>
                <w:sz w:val="4"/>
                <w:szCs w:val="4"/>
              </w:rPr>
            </w:pPr>
            <w:r>
              <w:rPr>
                <w:sz w:val="4"/>
                <w:szCs w:val="4"/>
              </w:rPr>
            </w:r>
          </w:p>
        </w:tc>
        <w:tc>
          <w:tcPr>
            <w:tcW w:w="2398"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I Definitions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w:t>
            </w:r>
          </w:p>
        </w:tc>
      </w:tr>
      <w:tr>
        <w:trPr/>
        <w:tc>
          <w:tcPr>
            <w:tcW w:w="7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1.01. Defined Terms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w:t>
            </w:r>
          </w:p>
        </w:tc>
      </w:tr>
      <w:tr>
        <w:trPr/>
        <w:tc>
          <w:tcPr>
            <w:tcW w:w="7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1.02. Classification of Loans and Borrowings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23</w:t>
            </w:r>
          </w:p>
        </w:tc>
      </w:tr>
      <w:tr>
        <w:trPr/>
        <w:tc>
          <w:tcPr>
            <w:tcW w:w="7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1.03. Terms Generally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23</w:t>
            </w:r>
          </w:p>
        </w:tc>
      </w:tr>
      <w:tr>
        <w:trPr/>
        <w:tc>
          <w:tcPr>
            <w:tcW w:w="7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1.04. Accounting Terms; GAAP</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23</w:t>
            </w:r>
          </w:p>
        </w:tc>
      </w:tr>
      <w:tr>
        <w:trPr/>
        <w:tc>
          <w:tcPr>
            <w:tcW w:w="7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1.05. Rates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23</w:t>
            </w:r>
          </w:p>
        </w:tc>
      </w:tr>
      <w:tr>
        <w:trPr/>
        <w:tc>
          <w:tcPr>
            <w:tcW w:w="7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1.06. Divisions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24</w:t>
            </w:r>
          </w:p>
        </w:tc>
      </w:tr>
      <w:tr>
        <w:trPr/>
        <w:tc>
          <w:tcPr>
            <w:tcW w:w="7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II The Credits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24</w:t>
            </w:r>
          </w:p>
        </w:tc>
      </w:tr>
      <w:tr>
        <w:trPr/>
        <w:tc>
          <w:tcPr>
            <w:tcW w:w="7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2.01. Commitments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24</w:t>
            </w:r>
          </w:p>
        </w:tc>
      </w:tr>
      <w:tr>
        <w:trPr/>
        <w:tc>
          <w:tcPr>
            <w:tcW w:w="7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2.02. Loans and Borrowings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24</w:t>
            </w:r>
          </w:p>
        </w:tc>
      </w:tr>
      <w:tr>
        <w:trPr/>
        <w:tc>
          <w:tcPr>
            <w:tcW w:w="7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2.03. Requests for Borrowings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25</w:t>
            </w:r>
          </w:p>
        </w:tc>
      </w:tr>
      <w:tr>
        <w:trPr/>
        <w:tc>
          <w:tcPr>
            <w:tcW w:w="7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2.04. Reserved</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25</w:t>
            </w:r>
          </w:p>
        </w:tc>
      </w:tr>
      <w:tr>
        <w:trPr/>
        <w:tc>
          <w:tcPr>
            <w:tcW w:w="7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2.05. Reserved</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26</w:t>
            </w:r>
          </w:p>
        </w:tc>
      </w:tr>
      <w:tr>
        <w:trPr/>
        <w:tc>
          <w:tcPr>
            <w:tcW w:w="7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2.06. Reserved</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26</w:t>
            </w:r>
          </w:p>
        </w:tc>
      </w:tr>
      <w:tr>
        <w:trPr/>
        <w:tc>
          <w:tcPr>
            <w:tcW w:w="7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2.07. Funding of Borrowings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26</w:t>
            </w:r>
          </w:p>
        </w:tc>
      </w:tr>
      <w:tr>
        <w:trPr/>
        <w:tc>
          <w:tcPr>
            <w:tcW w:w="7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2.08. Interest Elections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26</w:t>
            </w:r>
          </w:p>
        </w:tc>
      </w:tr>
      <w:tr>
        <w:trPr/>
        <w:tc>
          <w:tcPr>
            <w:tcW w:w="7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2.09. Termination and Reduction of Commitments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27</w:t>
            </w:r>
          </w:p>
        </w:tc>
      </w:tr>
      <w:tr>
        <w:trPr/>
        <w:tc>
          <w:tcPr>
            <w:tcW w:w="7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2.10. Repayment of Loans; Evidence of Debt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28</w:t>
            </w:r>
          </w:p>
        </w:tc>
      </w:tr>
      <w:tr>
        <w:trPr/>
        <w:tc>
          <w:tcPr>
            <w:tcW w:w="7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2.11. Prepayment of Loans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28</w:t>
            </w:r>
          </w:p>
        </w:tc>
      </w:tr>
      <w:tr>
        <w:trPr/>
        <w:tc>
          <w:tcPr>
            <w:tcW w:w="7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2.12. Fees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29</w:t>
            </w:r>
          </w:p>
        </w:tc>
      </w:tr>
      <w:tr>
        <w:trPr/>
        <w:tc>
          <w:tcPr>
            <w:tcW w:w="7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2.13. Interest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29</w:t>
            </w:r>
          </w:p>
        </w:tc>
      </w:tr>
      <w:tr>
        <w:trPr/>
        <w:tc>
          <w:tcPr>
            <w:tcW w:w="7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2.14. Alternate Rate of Interest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30</w:t>
            </w:r>
          </w:p>
        </w:tc>
      </w:tr>
      <w:tr>
        <w:trPr/>
        <w:tc>
          <w:tcPr>
            <w:tcW w:w="7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2.15. Illegality; Increased Costs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32</w:t>
            </w:r>
          </w:p>
        </w:tc>
      </w:tr>
      <w:tr>
        <w:trPr/>
        <w:tc>
          <w:tcPr>
            <w:tcW w:w="7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2.16. Break Funding Payments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33</w:t>
            </w:r>
          </w:p>
        </w:tc>
      </w:tr>
      <w:tr>
        <w:trPr/>
        <w:tc>
          <w:tcPr>
            <w:tcW w:w="7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2.17. Taxes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33</w:t>
            </w:r>
          </w:p>
        </w:tc>
      </w:tr>
      <w:tr>
        <w:trPr/>
        <w:tc>
          <w:tcPr>
            <w:tcW w:w="7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2.18. Payments Generally; Pro Rata Treatment; Sharing of Set-offs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37</w:t>
            </w:r>
          </w:p>
        </w:tc>
      </w:tr>
      <w:tr>
        <w:trPr/>
        <w:tc>
          <w:tcPr>
            <w:tcW w:w="7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2.19. Mitigation Obligations; Replacement of Lenders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38</w:t>
            </w:r>
          </w:p>
        </w:tc>
      </w:tr>
      <w:tr>
        <w:trPr/>
        <w:tc>
          <w:tcPr>
            <w:tcW w:w="7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2.20. Separateness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39</w:t>
            </w:r>
          </w:p>
        </w:tc>
      </w:tr>
      <w:tr>
        <w:trPr/>
        <w:tc>
          <w:tcPr>
            <w:tcW w:w="7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2.21. Defaulting Lenders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39</w:t>
            </w:r>
          </w:p>
        </w:tc>
      </w:tr>
      <w:tr>
        <w:trPr/>
        <w:tc>
          <w:tcPr>
            <w:tcW w:w="7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III Representations and Warranties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41</w:t>
            </w:r>
          </w:p>
        </w:tc>
      </w:tr>
      <w:tr>
        <w:trPr/>
        <w:tc>
          <w:tcPr>
            <w:tcW w:w="7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3.01. Organization; Powers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41</w:t>
            </w:r>
          </w:p>
        </w:tc>
      </w:tr>
      <w:tr>
        <w:trPr/>
        <w:tc>
          <w:tcPr>
            <w:tcW w:w="7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3.02. Authorization; Enforceability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41</w:t>
            </w:r>
          </w:p>
        </w:tc>
      </w:tr>
      <w:tr>
        <w:trPr/>
        <w:tc>
          <w:tcPr>
            <w:tcW w:w="7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3.03. Governmental Approvals; No Conflicts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41</w:t>
            </w:r>
          </w:p>
        </w:tc>
      </w:tr>
      <w:tr>
        <w:trPr/>
        <w:tc>
          <w:tcPr>
            <w:tcW w:w="7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3.04. Financial Condition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42</w:t>
            </w:r>
          </w:p>
        </w:tc>
      </w:tr>
      <w:tr>
        <w:trPr/>
        <w:tc>
          <w:tcPr>
            <w:tcW w:w="7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3.05. Litigation and Environmental Matters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42</w:t>
            </w:r>
          </w:p>
        </w:tc>
      </w:tr>
      <w:tr>
        <w:trPr/>
        <w:tc>
          <w:tcPr>
            <w:tcW w:w="7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3.06. Compliance with Laws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42</w:t>
            </w:r>
          </w:p>
        </w:tc>
      </w:tr>
      <w:tr>
        <w:trPr/>
        <w:tc>
          <w:tcPr>
            <w:tcW w:w="7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3.07. Investment Company Status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42</w:t>
            </w:r>
          </w:p>
        </w:tc>
      </w:tr>
      <w:tr>
        <w:trPr/>
        <w:tc>
          <w:tcPr>
            <w:tcW w:w="7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3.08. Taxes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42</w:t>
            </w:r>
          </w:p>
        </w:tc>
      </w:tr>
      <w:tr>
        <w:trPr/>
        <w:tc>
          <w:tcPr>
            <w:tcW w:w="7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3.09. ERISA</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43</w:t>
            </w:r>
          </w:p>
        </w:tc>
      </w:tr>
      <w:tr>
        <w:trPr/>
        <w:tc>
          <w:tcPr>
            <w:tcW w:w="7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3.10. Disclosure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43</w:t>
            </w:r>
          </w:p>
        </w:tc>
      </w:tr>
      <w:tr>
        <w:trPr/>
        <w:tc>
          <w:tcPr>
            <w:tcW w:w="7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3.11. Reserved</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43</w:t>
            </w:r>
          </w:p>
        </w:tc>
      </w:tr>
      <w:tr>
        <w:trPr/>
        <w:tc>
          <w:tcPr>
            <w:tcW w:w="7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3.12. Margin Securities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43</w:t>
            </w:r>
          </w:p>
        </w:tc>
      </w:tr>
      <w:tr>
        <w:trPr/>
        <w:tc>
          <w:tcPr>
            <w:tcW w:w="7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3.13. Anti-Corruption Laws; Sanctions Laws and Regulations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43</w:t>
            </w:r>
          </w:p>
        </w:tc>
      </w:tr>
      <w:tr>
        <w:trPr/>
        <w:tc>
          <w:tcPr>
            <w:tcW w:w="7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IV Conditions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44</w:t>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p>
                  </w:txbxContent>
                </v:textbox>
                <w10:wrap type="none"/>
              </v:rect>
            </w:pict>
          </mc:Fallback>
        </mc:AlternateContent>
      </w:r>
    </w:p>
    <w:tbl>
      <w:tblPr>
        <w:tblW w:w="7980" w:type="dxa"/>
        <w:jc w:val="left"/>
        <w:tblInd w:w="0" w:type="dxa"/>
        <w:tblLayout w:type="fixed"/>
        <w:tblCellMar>
          <w:top w:w="28" w:type="dxa"/>
          <w:left w:w="28" w:type="dxa"/>
          <w:bottom w:w="28" w:type="dxa"/>
          <w:right w:w="28" w:type="dxa"/>
        </w:tblCellMar>
      </w:tblPr>
      <w:tblGrid>
        <w:gridCol w:w="2751"/>
        <w:gridCol w:w="2415"/>
        <w:gridCol w:w="2423"/>
        <w:gridCol w:w="114"/>
        <w:gridCol w:w="114"/>
        <w:gridCol w:w="163"/>
      </w:tblGrid>
      <w:tr>
        <w:trPr/>
        <w:tc>
          <w:tcPr>
            <w:tcW w:w="2751" w:type="dxa"/>
            <w:tcBorders/>
            <w:vAlign w:val="center"/>
          </w:tcPr>
          <w:p>
            <w:pPr>
              <w:pStyle w:val="TableContents"/>
              <w:bidi w:val="0"/>
              <w:spacing w:before="0" w:after="283"/>
              <w:jc w:val="left"/>
              <w:rPr>
                <w:sz w:val="4"/>
                <w:szCs w:val="4"/>
              </w:rPr>
            </w:pPr>
            <w:r>
              <w:rPr>
                <w:sz w:val="4"/>
                <w:szCs w:val="4"/>
              </w:rPr>
            </w:r>
          </w:p>
        </w:tc>
        <w:tc>
          <w:tcPr>
            <w:tcW w:w="2415" w:type="dxa"/>
            <w:tcBorders/>
            <w:vAlign w:val="center"/>
          </w:tcPr>
          <w:p>
            <w:pPr>
              <w:pStyle w:val="TableContents"/>
              <w:bidi w:val="0"/>
              <w:spacing w:before="0" w:after="283"/>
              <w:jc w:val="left"/>
              <w:rPr>
                <w:sz w:val="4"/>
                <w:szCs w:val="4"/>
              </w:rPr>
            </w:pPr>
            <w:r>
              <w:rPr>
                <w:sz w:val="4"/>
                <w:szCs w:val="4"/>
              </w:rPr>
            </w:r>
          </w:p>
        </w:tc>
        <w:tc>
          <w:tcPr>
            <w:tcW w:w="242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4.01. Effective Date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44</w:t>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4.02. Each Credit Event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45</w:t>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V Affirmative Covenants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45</w:t>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5.01. Financial Statements and Other Information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45</w:t>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5.02. Notices of Material Events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46</w:t>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5.03. Existence; Conduct of Business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46</w:t>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5.04. Maintenance of Properties; Insurance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47</w:t>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5.05. Books and Records; Inspection Rights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47</w:t>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5.06. Compliance with Laws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47</w:t>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5.07. Use of Proceeds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47</w:t>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5.08. Environmental Matters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48</w:t>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5.09. ERISA Information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48</w:t>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5.10. Taxes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48</w:t>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VI Negative Covenants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49</w:t>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6.01. Reserved</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49</w:t>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6.02. Liens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49</w:t>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6.03. Fundamental Changes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49</w:t>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6.04. Investment Restriction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49</w:t>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6.05. Restricted Payments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50</w:t>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6.06. Restrictive Agreements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50</w:t>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6.07. Financial Condition Covenants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51</w:t>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VII Events of Default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52</w:t>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VIII The Administrative Agent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55</w:t>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8.01. The Administrative Agent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55</w:t>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8.02. Erroneous Payments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57</w:t>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IX Miscellaneous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60</w:t>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9.01. Notices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60</w:t>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9.02. Waivers; Amendments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62</w:t>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9.03. Expenses; Indemnity; Damage Waiver</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63</w:t>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9.04. Successors and Assigns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64</w:t>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9.05. Survival</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67</w:t>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9.06. Counterparts; Integration; Effectiveness; Electronic Execution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67</w:t>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9.07. Severability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68</w:t>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9.08. Right of Setoff</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68</w:t>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9.09. Governing Law; Jurisdiction; Consent to Service of Process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69</w:t>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9.10. Waiver of Jury Trial</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69</w:t>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9.11. Headings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70</w:t>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9.12. Confidentiality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70</w:t>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9.13. Interest Rate Limitation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70</w:t>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9.14. Liability of Manager</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71</w:t>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9.15. USA Patriot Act Notice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71</w:t>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9.16. No Advisory or Fiduciary Responsibility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71</w:t>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p>
                  </w:txbxContent>
                </v:textbox>
                <w10:wrap type="none"/>
              </v:rect>
            </w:pict>
          </mc:Fallback>
        </mc:AlternateContent>
      </w:r>
    </w:p>
    <w:tbl>
      <w:tblPr>
        <w:tblW w:w="9315" w:type="dxa"/>
        <w:jc w:val="left"/>
        <w:tblInd w:w="0" w:type="dxa"/>
        <w:tblLayout w:type="fixed"/>
        <w:tblCellMar>
          <w:top w:w="28" w:type="dxa"/>
          <w:left w:w="28" w:type="dxa"/>
          <w:bottom w:w="28" w:type="dxa"/>
          <w:right w:w="28" w:type="dxa"/>
        </w:tblCellMar>
      </w:tblPr>
      <w:tblGrid>
        <w:gridCol w:w="3233"/>
        <w:gridCol w:w="2843"/>
        <w:gridCol w:w="2848"/>
        <w:gridCol w:w="114"/>
        <w:gridCol w:w="114"/>
        <w:gridCol w:w="163"/>
      </w:tblGrid>
      <w:tr>
        <w:trPr/>
        <w:tc>
          <w:tcPr>
            <w:tcW w:w="3233" w:type="dxa"/>
            <w:tcBorders/>
            <w:vAlign w:val="center"/>
          </w:tcPr>
          <w:p>
            <w:pPr>
              <w:pStyle w:val="TableContents"/>
              <w:bidi w:val="0"/>
              <w:spacing w:before="0" w:after="283"/>
              <w:jc w:val="left"/>
              <w:rPr>
                <w:sz w:val="4"/>
                <w:szCs w:val="4"/>
              </w:rPr>
            </w:pPr>
            <w:r>
              <w:rPr>
                <w:sz w:val="4"/>
                <w:szCs w:val="4"/>
              </w:rPr>
            </w:r>
          </w:p>
        </w:tc>
        <w:tc>
          <w:tcPr>
            <w:tcW w:w="2843"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710"/>
              <w:jc w:val="left"/>
              <w:rPr>
                <w:sz w:val="4"/>
                <w:szCs w:val="4"/>
              </w:rPr>
            </w:pPr>
            <w:r>
              <w:rPr>
                <w:sz w:val="4"/>
                <w:szCs w:val="4"/>
              </w:rPr>
            </w:r>
          </w:p>
        </w:tc>
      </w:tr>
      <w:tr>
        <w:trPr/>
        <w:tc>
          <w:tcPr>
            <w:tcW w:w="8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9.17. Acknowledgement and Consent to Bail-In of Affected Financial Institutions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71</w:t>
            </w:r>
          </w:p>
        </w:tc>
      </w:tr>
      <w:tr>
        <w:trPr/>
        <w:tc>
          <w:tcPr>
            <w:tcW w:w="8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9.18. Certain ERISA Matters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72</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u w:val="single"/>
        </w:rPr>
        <w:t>SCHEDULES</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Schedule 2.01 -- Commitments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Schedule 3.05 -- Disclosed Matters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Schedule 6.06 -- Existing Restrictions</w:t>
      </w:r>
    </w:p>
    <w:p>
      <w:pPr>
        <w:pStyle w:val="TextBody"/>
        <w:bidi w:val="0"/>
        <w:spacing w:before="0" w:after="240"/>
        <w:jc w:val="both"/>
        <w:rPr/>
      </w:pPr>
      <w:r>
        <w:rPr/>
      </w:r>
    </w:p>
    <w:p>
      <w:pPr>
        <w:pStyle w:val="TextBody"/>
        <w:bidi w:val="0"/>
        <w:spacing w:lineRule="auto" w:line="288" w:before="0" w:after="240"/>
        <w:jc w:val="both"/>
        <w:rPr/>
      </w:pPr>
      <w:r>
        <w:rPr>
          <w:rFonts w:ascii="Times New Roman;serif" w:hAnsi="Times New Roman;serif"/>
          <w:b w:val="false"/>
          <w:color w:val="000000"/>
          <w:sz w:val="24"/>
          <w:u w:val="single"/>
        </w:rPr>
        <w:t>EXHIBITS</w:t>
      </w:r>
      <w:r>
        <w:rPr>
          <w:rFonts w:ascii="Times New Roman;serif" w:hAnsi="Times New Roman;serif"/>
          <w:b w:val="false"/>
          <w:color w:val="000000"/>
          <w:sz w:val="24"/>
        </w:rPr>
        <w: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A -- Form of Assignment and Assumption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B -- Form of Borrowing Request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C -- Form of Interest Election Request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D-1 -- Form of Opinion of Christopher S. Wade, in-house counsel for Borrower and EPD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D-2 -- Form of Opinion of Willkie Farr &amp; Gallagher LLP,</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Borrower’s and EPD’s Counsel</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E -- Form of Compliance Certificate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F -- Form of Note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G-1 -- Form of U.S. Tax Compliance Certificate (Foreign Lenders; Not Partnerships)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G-2 -- Form of U.S. Tax Compliance Certificate (Foreign Participants; Not Partnerships)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G-3 -- Form of U.S. Tax Compliance Certificate (Foreign Participants; Partnerships)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G-4 -- Form of U.S. Tax Compliance Certificate (Foreign Lenders; Partnerships)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REVOLVING CREDIT AGREEMENT dated as of July 28, 2026, among ENTERPRISE PRODUCTS OPERATING LLC, a Texas limited liability company; the LENDERS party hereto; CITIBANK, N.A., as Administrative Agent; and the Co-Syndication Agents, the Co-Documentation Agents and the Arrangers.</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W I T N E S S E T H</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consideration of the mutual covenants and agreements contained herein and in consideration of the Loans which may hereafter be made by Lenders to Borrower and for other good and valuable consideration, the receipt and sufficiency of which are hereby acknowledged, the parties hereto agree as follows:</w:t>
      </w:r>
    </w:p>
    <w:p>
      <w:pPr>
        <w:pStyle w:val="TextBody"/>
        <w:bidi w:val="0"/>
        <w:spacing w:lineRule="auto" w:line="288" w:before="0" w:after="240"/>
        <w:jc w:val="center"/>
        <w:rPr/>
      </w:pPr>
      <w:r>
        <w:rPr>
          <w:rFonts w:ascii="Times New Roman;serif" w:hAnsi="Times New Roman;serif"/>
          <w:b w:val="false"/>
          <w:color w:val="000000"/>
          <w:sz w:val="24"/>
        </w:rPr>
        <w:t>ARTICLE I</w:t>
        <w:br/>
        <w:br/>
      </w:r>
      <w:r>
        <w:rPr>
          <w:rFonts w:ascii="Times New Roman;serif" w:hAnsi="Times New Roman;serif"/>
          <w:b w:val="false"/>
          <w:color w:val="000000"/>
          <w:sz w:val="24"/>
          <w:u w:val="single"/>
        </w:rPr>
        <w:t>Definitions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1.01. </w:t>
      </w:r>
      <w:r>
        <w:rPr>
          <w:rFonts w:ascii="Times New Roman;serif" w:hAnsi="Times New Roman;serif"/>
          <w:b w:val="false"/>
          <w:color w:val="000000"/>
          <w:sz w:val="24"/>
          <w:u w:val="single"/>
        </w:rPr>
        <w:t>Defined Terms</w:t>
      </w:r>
      <w:r>
        <w:rPr>
          <w:rFonts w:ascii="Times New Roman;serif" w:hAnsi="Times New Roman;serif"/>
          <w:b w:val="false"/>
          <w:color w:val="000000"/>
          <w:sz w:val="24"/>
        </w:rPr>
        <w:t>. As used in this Agreement, the following terms have the meanings specified below:</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364-Day Credit Facility</w:t>
      </w:r>
      <w:r>
        <w:rPr>
          <w:color w:val="000000"/>
        </w:rPr>
        <w:t xml:space="preserve">” </w:t>
      </w:r>
      <w:r>
        <w:rPr>
          <w:rFonts w:ascii="Times New Roman;serif" w:hAnsi="Times New Roman;serif"/>
          <w:b w:val="false"/>
          <w:color w:val="000000"/>
          <w:sz w:val="24"/>
        </w:rPr>
        <w:t>means the revolving credit facility of the Borrower under that certain 364-Day Revolving Credit Agreement dated as of March 27, 2026, among the Borrower, Citibank, N.A., as administrative agent, and the lenders party thereto, together with any and all amendments and supplements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ABR</w:t>
      </w:r>
      <w:r>
        <w:rPr>
          <w:color w:val="000000"/>
        </w:rPr>
        <w:t>”</w:t>
      </w:r>
      <w:r>
        <w:rPr>
          <w:rFonts w:ascii="Times New Roman;serif" w:hAnsi="Times New Roman;serif"/>
          <w:b w:val="false"/>
          <w:color w:val="000000"/>
          <w:sz w:val="24"/>
        </w:rPr>
        <w:t>, when used in reference to any Loan or Borrowing, refers to a Loan, or Loans, in the case of a Borrowing, which bear interest at a rate determined by reference to the Alternate Base Rate.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Administrative Agent</w:t>
      </w:r>
      <w:r>
        <w:rPr>
          <w:color w:val="000000"/>
        </w:rPr>
        <w:t xml:space="preserve">” </w:t>
      </w:r>
      <w:r>
        <w:rPr>
          <w:rFonts w:ascii="Times New Roman;serif" w:hAnsi="Times New Roman;serif"/>
          <w:b w:val="false"/>
          <w:color w:val="000000"/>
          <w:sz w:val="24"/>
        </w:rPr>
        <w:t xml:space="preserve">means Citibank, N.A., in its capacity as administrative agent for the Lenders hereunder.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Administrative Questionnaire</w:t>
      </w:r>
      <w:r>
        <w:rPr>
          <w:color w:val="000000"/>
        </w:rPr>
        <w:t xml:space="preserve">” </w:t>
      </w:r>
      <w:r>
        <w:rPr>
          <w:rFonts w:ascii="Times New Roman;serif" w:hAnsi="Times New Roman;serif"/>
          <w:b w:val="false"/>
          <w:color w:val="000000"/>
          <w:sz w:val="24"/>
        </w:rPr>
        <w:t>means an Administrative Questionnaire in a form supplied by the Administrative Agent.</w:t>
      </w:r>
    </w:p>
    <w:p>
      <w:pPr>
        <w:pStyle w:val="TextBody"/>
        <w:bidi w:val="0"/>
        <w:spacing w:lineRule="auto" w:line="288" w:before="0" w:after="120"/>
        <w:ind w:left="0" w:right="0" w:firstLine="720"/>
        <w:jc w:val="both"/>
        <w:rPr/>
      </w:pPr>
      <w:r>
        <w:rPr>
          <w:color w:val="000000"/>
        </w:rPr>
        <w:t>“</w:t>
      </w:r>
      <w:r>
        <w:rPr>
          <w:rFonts w:ascii="Times New Roman;serif" w:hAnsi="Times New Roman;serif"/>
          <w:b w:val="false"/>
          <w:color w:val="000000"/>
          <w:sz w:val="24"/>
          <w:u w:val="single"/>
        </w:rPr>
        <w:t>Affected Financial Institution</w:t>
      </w:r>
      <w:r>
        <w:rPr>
          <w:color w:val="000000"/>
        </w:rPr>
        <w:t xml:space="preserve">” </w:t>
      </w:r>
      <w:r>
        <w:rPr>
          <w:rFonts w:ascii="Times New Roman;serif" w:hAnsi="Times New Roman;serif"/>
          <w:b w:val="false"/>
          <w:color w:val="000000"/>
          <w:sz w:val="24"/>
        </w:rPr>
        <w:t>means (a) any EEA Financial Institution or (b) any UK Financial Institution</w:t>
      </w:r>
      <w:r>
        <w:rPr>
          <w:rFonts w:ascii="Times New Roman;serif" w:hAnsi="Times New Roman;serif"/>
          <w:b/>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means, with respect to a specified Person, another Person that directly, or indirectly through one or more intermediaries, Controls or is Controlled by or is under common Control with the Person specified.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Agent Parties</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9.01(e)</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Agreement</w:t>
      </w:r>
      <w:r>
        <w:rPr>
          <w:color w:val="000000"/>
        </w:rPr>
        <w:t xml:space="preserve">” </w:t>
      </w:r>
      <w:r>
        <w:rPr>
          <w:rFonts w:ascii="Times New Roman;serif" w:hAnsi="Times New Roman;serif"/>
          <w:b w:val="false"/>
          <w:color w:val="000000"/>
          <w:sz w:val="24"/>
        </w:rPr>
        <w:t>means this Revolving Credit Agreement of even date herewith, among Enterprise Products Operating LLC, a Texas limited liability company; the Lenders party hereto; Citibank, N.A., as Administrative Agent; and the Co-Syndication Agents and Co-Documentation Agents; as may be amended, extended, supplemented or otherwise modified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Alternate Base Rate</w:t>
      </w:r>
      <w:r>
        <w:rPr>
          <w:color w:val="000000"/>
        </w:rPr>
        <w:t xml:space="preserve">” </w:t>
      </w:r>
      <w:r>
        <w:rPr>
          <w:rFonts w:ascii="Times New Roman;serif" w:hAnsi="Times New Roman;serif"/>
          <w:b w:val="false"/>
          <w:color w:val="000000"/>
          <w:sz w:val="24"/>
        </w:rPr>
        <w:t xml:space="preserve">means, for any day, a rate per annum equal to the greatest of (a) the Prime Rate in effect on such day, (b) the Federal Funds Effective Rate in effect on such </w:t>
      </w:r>
    </w:p>
    <w:p>
      <w:pPr>
        <w:pStyle w:val="TextBody"/>
        <w:bidi w:val="0"/>
        <w:spacing w:before="0" w:after="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day plus ½ of 1%, and (c) Term SOFR for an Interest Period of one month in effect on such day (or if such day is not a Business Day, the immediately preceding Business Day) plus 1% (provided that clause (c) shall not be applicable during any period in which Term SOFR is unavailable or unascertainable). Any change in the Alternate Base Rate due to a change in the Prime Rate, the Federal Funds Effective Rate or Term SOFR shall be effective from and including the effective date of such change in the Prime Rate, the Federal Funds Effective Rate or Term SOFR, respectively.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Anti-Corruption Laws</w:t>
      </w:r>
      <w:r>
        <w:rPr>
          <w:color w:val="000000"/>
        </w:rPr>
        <w:t xml:space="preserve">” </w:t>
      </w:r>
      <w:r>
        <w:rPr>
          <w:rFonts w:ascii="Times New Roman;serif" w:hAnsi="Times New Roman;serif"/>
          <w:b w:val="false"/>
          <w:color w:val="000000"/>
          <w:sz w:val="24"/>
        </w:rPr>
        <w:t>means all laws, rules, and regulations of any jurisdiction applicable to the Borrower or its Subsidiaries from time to time concerning or relating to bribery or corruption.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Applicable Percentage</w:t>
      </w:r>
      <w:r>
        <w:rPr>
          <w:color w:val="000000"/>
        </w:rPr>
        <w:t xml:space="preserve">” </w:t>
      </w:r>
      <w:r>
        <w:rPr>
          <w:rFonts w:ascii="Times New Roman;serif" w:hAnsi="Times New Roman;serif"/>
          <w:b w:val="false"/>
          <w:color w:val="000000"/>
          <w:sz w:val="24"/>
        </w:rPr>
        <w:t>means, with respect to any Lender, the percentage of the total Commitments represented by such Lender’s Commitment. If the Commitments have terminated or expired, the Applicable Percentages shall be determined based upon the Commitments most recently in effect, giving effect to any assignments.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Applicable Rate</w:t>
      </w:r>
      <w:r>
        <w:rPr>
          <w:color w:val="000000"/>
        </w:rPr>
        <w:t xml:space="preserve">” </w:t>
      </w:r>
      <w:r>
        <w:rPr>
          <w:rFonts w:ascii="Times New Roman;serif" w:hAnsi="Times New Roman;serif"/>
          <w:b w:val="false"/>
          <w:color w:val="000000"/>
          <w:sz w:val="24"/>
        </w:rPr>
        <w:t>means, for any day, with respect to any Loan, or with respect to the facility fees payable hereunder, as the case may be (subject to the immediately following paragraph of this defined term), the applicable rate per annum set forth below under the caption “SOFR Spread”, “ABR Spread” or “Facility Fee Rate”, as the case may be, based upon the ratings by Moody’s and/or S&amp;P, respectively, applicable on such date to the Index Debt:</w:t>
      </w:r>
    </w:p>
    <w:tbl>
      <w:tblPr>
        <w:tblW w:w="7362" w:type="dxa"/>
        <w:jc w:val="left"/>
        <w:tblInd w:w="0" w:type="dxa"/>
        <w:tblLayout w:type="fixed"/>
        <w:tblCellMar>
          <w:top w:w="28" w:type="dxa"/>
          <w:left w:w="28" w:type="dxa"/>
          <w:bottom w:w="28" w:type="dxa"/>
          <w:right w:w="28" w:type="dxa"/>
        </w:tblCellMar>
      </w:tblPr>
      <w:tblGrid>
        <w:gridCol w:w="917"/>
        <w:gridCol w:w="806"/>
        <w:gridCol w:w="811"/>
        <w:gridCol w:w="514"/>
        <w:gridCol w:w="514"/>
        <w:gridCol w:w="516"/>
        <w:gridCol w:w="474"/>
        <w:gridCol w:w="474"/>
        <w:gridCol w:w="476"/>
        <w:gridCol w:w="545"/>
        <w:gridCol w:w="545"/>
        <w:gridCol w:w="770"/>
      </w:tblGrid>
      <w:tr>
        <w:trPr/>
        <w:tc>
          <w:tcPr>
            <w:tcW w:w="9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120" w:after="283"/>
              <w:jc w:val="left"/>
              <w:rPr>
                <w:rFonts w:ascii="Times New Roman;serif" w:hAnsi="Times New Roman;serif"/>
                <w:b/>
                <w:color w:val="000000"/>
                <w:sz w:val="24"/>
                <w:u w:val="single"/>
              </w:rPr>
            </w:pPr>
            <w:r>
              <w:rPr>
                <w:rFonts w:ascii="Times New Roman;serif" w:hAnsi="Times New Roman;serif"/>
                <w:b/>
                <w:color w:val="000000"/>
                <w:sz w:val="24"/>
                <w:u w:val="single"/>
              </w:rPr>
              <w:t>Index Debt Ratings:</w:t>
            </w:r>
          </w:p>
          <w:p>
            <w:pPr>
              <w:pStyle w:val="TableContents"/>
              <w:bidi w:val="0"/>
              <w:spacing w:lineRule="auto" w:line="288" w:before="0" w:after="120"/>
              <w:jc w:val="left"/>
              <w:rPr>
                <w:rFonts w:ascii="Times New Roman;serif" w:hAnsi="Times New Roman;serif"/>
                <w:b/>
                <w:color w:val="000000"/>
                <w:sz w:val="24"/>
                <w:u w:val="single"/>
              </w:rPr>
            </w:pPr>
            <w:r>
              <w:rPr>
                <w:rFonts w:ascii="Times New Roman;serif" w:hAnsi="Times New Roman;serif"/>
                <w:b/>
                <w:color w:val="000000"/>
                <w:sz w:val="24"/>
                <w:u w:val="single"/>
              </w:rPr>
              <w:t>(Moody’s/S&amp;P)</w:t>
            </w:r>
          </w:p>
        </w:tc>
        <w:tc>
          <w:tcPr>
            <w:tcW w:w="15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120"/>
              <w:jc w:val="center"/>
              <w:rPr/>
            </w:pPr>
            <w:r>
              <w:rPr/>
            </w:r>
          </w:p>
          <w:p>
            <w:pPr>
              <w:pStyle w:val="TableContents"/>
              <w:bidi w:val="0"/>
              <w:spacing w:lineRule="auto" w:line="288" w:before="0" w:after="120"/>
              <w:jc w:val="center"/>
              <w:rPr>
                <w:rFonts w:ascii="Times New Roman;serif" w:hAnsi="Times New Roman;serif"/>
                <w:b/>
                <w:color w:val="000000"/>
                <w:sz w:val="24"/>
                <w:u w:val="single"/>
              </w:rPr>
            </w:pPr>
            <w:r>
              <w:rPr>
                <w:rFonts w:ascii="Times New Roman;serif" w:hAnsi="Times New Roman;serif"/>
                <w:b/>
                <w:color w:val="000000"/>
                <w:sz w:val="24"/>
                <w:u w:val="single"/>
              </w:rPr>
              <w:t>SOFR Spread</w:t>
            </w:r>
          </w:p>
        </w:tc>
        <w:tc>
          <w:tcPr>
            <w:tcW w:w="142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120"/>
              <w:jc w:val="center"/>
              <w:rPr/>
            </w:pPr>
            <w:r>
              <w:rPr/>
            </w:r>
          </w:p>
          <w:p>
            <w:pPr>
              <w:pStyle w:val="TableContents"/>
              <w:bidi w:val="0"/>
              <w:spacing w:lineRule="auto" w:line="288" w:before="0" w:after="120"/>
              <w:jc w:val="center"/>
              <w:rPr>
                <w:rFonts w:ascii="Times New Roman;serif" w:hAnsi="Times New Roman;serif"/>
                <w:b/>
                <w:color w:val="000000"/>
                <w:sz w:val="24"/>
                <w:u w:val="single"/>
              </w:rPr>
            </w:pPr>
            <w:r>
              <w:rPr>
                <w:rFonts w:ascii="Times New Roman;serif" w:hAnsi="Times New Roman;serif"/>
                <w:b/>
                <w:color w:val="000000"/>
                <w:sz w:val="24"/>
                <w:u w:val="single"/>
              </w:rPr>
              <w:t>ABR Spread</w:t>
            </w:r>
          </w:p>
        </w:tc>
        <w:tc>
          <w:tcPr>
            <w:tcW w:w="1860"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before="120" w:after="283"/>
              <w:jc w:val="left"/>
              <w:rPr/>
            </w:pPr>
            <w:r>
              <w:rPr/>
            </w:r>
          </w:p>
          <w:p>
            <w:pPr>
              <w:pStyle w:val="TableContents"/>
              <w:bidi w:val="0"/>
              <w:spacing w:lineRule="auto" w:line="288" w:before="0" w:after="120"/>
              <w:jc w:val="left"/>
              <w:rPr>
                <w:rFonts w:ascii="Times New Roman;serif" w:hAnsi="Times New Roman;serif"/>
                <w:b/>
                <w:color w:val="000000"/>
                <w:sz w:val="24"/>
                <w:u w:val="single"/>
              </w:rPr>
            </w:pPr>
            <w:r>
              <w:rPr>
                <w:rFonts w:ascii="Times New Roman;serif" w:hAnsi="Times New Roman;serif"/>
                <w:b/>
                <w:color w:val="000000"/>
                <w:sz w:val="24"/>
                <w:u w:val="single"/>
              </w:rPr>
              <w:t>Facility Fee Rate</w:t>
            </w:r>
          </w:p>
        </w:tc>
      </w:tr>
      <w:tr>
        <w:trPr/>
        <w:tc>
          <w:tcPr>
            <w:tcW w:w="253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120" w:after="120"/>
              <w:jc w:val="left"/>
              <w:rPr/>
            </w:pPr>
            <w:r>
              <w:rPr>
                <w:rFonts w:ascii="Times New Roman;serif" w:hAnsi="Times New Roman;serif"/>
                <w:b w:val="false"/>
                <w:color w:val="000000"/>
                <w:sz w:val="24"/>
                <w:u w:val="single"/>
              </w:rPr>
              <w:t>Category 1</w:t>
            </w:r>
            <w:r>
              <w:rPr>
                <w:color w:val="000000"/>
              </w:rPr>
              <w:t xml:space="preserve"> </w:t>
            </w:r>
            <w:r>
              <w:rPr>
                <w:rFonts w:ascii="Times New Roman;serif" w:hAnsi="Times New Roman;serif"/>
                <w:b w:val="false"/>
                <w:color w:val="000000"/>
                <w:sz w:val="24"/>
                <w:u w:val="single"/>
              </w:rPr>
              <w:t>&gt;</w:t>
            </w:r>
            <w:r>
              <w:rPr>
                <w:color w:val="000000"/>
              </w:rPr>
              <w:t xml:space="preserve"> </w:t>
            </w:r>
            <w:r>
              <w:rPr>
                <w:rFonts w:ascii="Times New Roman;serif" w:hAnsi="Times New Roman;serif"/>
                <w:b w:val="false"/>
                <w:color w:val="000000"/>
                <w:sz w:val="24"/>
              </w:rPr>
              <w:t>A1/A+</w:t>
            </w:r>
          </w:p>
        </w:tc>
        <w:tc>
          <w:tcPr>
            <w:tcW w:w="15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0.710%</w:t>
            </w:r>
          </w:p>
        </w:tc>
        <w:tc>
          <w:tcPr>
            <w:tcW w:w="142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0.000%</w:t>
            </w:r>
          </w:p>
        </w:tc>
        <w:tc>
          <w:tcPr>
            <w:tcW w:w="1860"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0.040%</w:t>
            </w:r>
          </w:p>
        </w:tc>
      </w:tr>
      <w:tr>
        <w:trPr/>
        <w:tc>
          <w:tcPr>
            <w:tcW w:w="253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120" w:after="120"/>
              <w:jc w:val="left"/>
              <w:rPr/>
            </w:pPr>
            <w:r>
              <w:rPr>
                <w:rFonts w:ascii="Times New Roman;serif" w:hAnsi="Times New Roman;serif"/>
                <w:b w:val="false"/>
                <w:color w:val="000000"/>
                <w:sz w:val="24"/>
                <w:u w:val="single"/>
              </w:rPr>
              <w:t>Category 2</w:t>
            </w:r>
            <w:r>
              <w:rPr>
                <w:color w:val="000000"/>
              </w:rPr>
              <w:t xml:space="preserve"> </w:t>
            </w:r>
            <w:r>
              <w:rPr>
                <w:rFonts w:ascii="Times New Roman;serif" w:hAnsi="Times New Roman;serif"/>
                <w:b w:val="false"/>
                <w:color w:val="000000"/>
                <w:sz w:val="24"/>
              </w:rPr>
              <w:t>A2/A</w:t>
            </w:r>
          </w:p>
        </w:tc>
        <w:tc>
          <w:tcPr>
            <w:tcW w:w="15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0.815%</w:t>
            </w:r>
          </w:p>
        </w:tc>
        <w:tc>
          <w:tcPr>
            <w:tcW w:w="142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0.000%</w:t>
            </w:r>
          </w:p>
        </w:tc>
        <w:tc>
          <w:tcPr>
            <w:tcW w:w="1860"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0.060%</w:t>
            </w:r>
          </w:p>
        </w:tc>
      </w:tr>
      <w:tr>
        <w:trPr/>
        <w:tc>
          <w:tcPr>
            <w:tcW w:w="253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120" w:after="120"/>
              <w:jc w:val="left"/>
              <w:rPr/>
            </w:pPr>
            <w:r>
              <w:rPr>
                <w:rFonts w:ascii="Times New Roman;serif" w:hAnsi="Times New Roman;serif"/>
                <w:b w:val="false"/>
                <w:color w:val="000000"/>
                <w:sz w:val="24"/>
                <w:u w:val="single"/>
              </w:rPr>
              <w:t>Category 3</w:t>
            </w:r>
            <w:r>
              <w:rPr>
                <w:color w:val="000000"/>
              </w:rPr>
              <w:t xml:space="preserve"> </w:t>
            </w:r>
            <w:r>
              <w:rPr>
                <w:rFonts w:ascii="Times New Roman;serif" w:hAnsi="Times New Roman;serif"/>
                <w:b w:val="false"/>
                <w:color w:val="000000"/>
                <w:sz w:val="24"/>
              </w:rPr>
              <w:t>A3/A-</w:t>
            </w:r>
          </w:p>
        </w:tc>
        <w:tc>
          <w:tcPr>
            <w:tcW w:w="15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0.925%</w:t>
            </w:r>
          </w:p>
        </w:tc>
        <w:tc>
          <w:tcPr>
            <w:tcW w:w="142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0.000%</w:t>
            </w:r>
          </w:p>
        </w:tc>
        <w:tc>
          <w:tcPr>
            <w:tcW w:w="1860"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0.075%</w:t>
            </w:r>
          </w:p>
        </w:tc>
      </w:tr>
      <w:tr>
        <w:trPr/>
        <w:tc>
          <w:tcPr>
            <w:tcW w:w="253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120" w:after="120"/>
              <w:jc w:val="left"/>
              <w:rPr/>
            </w:pPr>
            <w:r>
              <w:rPr>
                <w:rFonts w:ascii="Times New Roman;serif" w:hAnsi="Times New Roman;serif"/>
                <w:b w:val="false"/>
                <w:color w:val="000000"/>
                <w:sz w:val="24"/>
                <w:u w:val="single"/>
              </w:rPr>
              <w:t>Category 4</w:t>
            </w:r>
            <w:r>
              <w:rPr>
                <w:color w:val="000000"/>
              </w:rPr>
              <w:t xml:space="preserve"> </w:t>
            </w:r>
            <w:r>
              <w:rPr>
                <w:rFonts w:ascii="Times New Roman;serif" w:hAnsi="Times New Roman;serif"/>
                <w:b w:val="false"/>
                <w:color w:val="000000"/>
                <w:sz w:val="24"/>
              </w:rPr>
              <w:t>Baa1/BBB+</w:t>
            </w:r>
          </w:p>
        </w:tc>
        <w:tc>
          <w:tcPr>
            <w:tcW w:w="15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1.025%</w:t>
            </w:r>
          </w:p>
        </w:tc>
        <w:tc>
          <w:tcPr>
            <w:tcW w:w="142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0.025%</w:t>
            </w:r>
          </w:p>
        </w:tc>
        <w:tc>
          <w:tcPr>
            <w:tcW w:w="1860"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0.100%</w:t>
            </w:r>
          </w:p>
        </w:tc>
      </w:tr>
      <w:tr>
        <w:trPr/>
        <w:tc>
          <w:tcPr>
            <w:tcW w:w="2534"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88" w:before="120" w:after="120"/>
              <w:jc w:val="left"/>
              <w:rPr/>
            </w:pPr>
            <w:r>
              <w:rPr>
                <w:rFonts w:ascii="Times New Roman;serif" w:hAnsi="Times New Roman;serif"/>
                <w:b w:val="false"/>
                <w:color w:val="000000"/>
                <w:sz w:val="24"/>
                <w:u w:val="single"/>
              </w:rPr>
              <w:t>Category 5</w:t>
            </w:r>
            <w:r>
              <w:rPr>
                <w:color w:val="000000"/>
              </w:rPr>
              <w:t xml:space="preserve"> </w:t>
            </w:r>
            <w:r>
              <w:rPr>
                <w:rFonts w:ascii="Times New Roman;serif" w:hAnsi="Times New Roman;serif"/>
                <w:b w:val="false"/>
                <w:color w:val="000000"/>
                <w:sz w:val="24"/>
                <w:u w:val="single"/>
              </w:rPr>
              <w:t>&lt;</w:t>
            </w:r>
            <w:r>
              <w:rPr>
                <w:color w:val="000000"/>
              </w:rPr>
              <w:t xml:space="preserve"> </w:t>
            </w:r>
            <w:r>
              <w:rPr>
                <w:rFonts w:ascii="Times New Roman;serif" w:hAnsi="Times New Roman;serif"/>
                <w:b w:val="false"/>
                <w:color w:val="000000"/>
                <w:sz w:val="24"/>
              </w:rPr>
              <w:t xml:space="preserve">Baa2/BBB </w:t>
            </w:r>
          </w:p>
        </w:tc>
        <w:tc>
          <w:tcPr>
            <w:tcW w:w="1544"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1.125%</w:t>
            </w:r>
          </w:p>
        </w:tc>
        <w:tc>
          <w:tcPr>
            <w:tcW w:w="1424"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0.125%</w:t>
            </w:r>
          </w:p>
        </w:tc>
        <w:tc>
          <w:tcPr>
            <w:tcW w:w="1860"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0.125%</w:t>
            </w:r>
          </w:p>
        </w:tc>
      </w:tr>
    </w:tbl>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For purposes of the foregoing, (i) if only one of Moody’s and S&amp;P shall have in effect a rating for the Index Debt (other than by reason of a change in the rating system of, or unavailability of a ratings by, such rating agencies, as referred to in the last sentence of this paragraph), then the other rating agency shall be deemed to have established a rating in the same Category as such agency; (ii) if each of Moody’s and S&amp;P shall have in effect a rating for the Index Debt, and such ratings shall fall within different Categories, the Applicable Rate shall be based on the higher of the two ratings; and (iii) if the ratings established or deemed to have been established by Moody’s and/or S&amp;P for the Index Debt shall be changed (other than as a result of a change in the rating system of Moody’s or S&amp;P), such change shall be effective as of the date on which it is first announced by the applicable rating agency. Each change in the Applicable Rate shall apply during the period commencing on the effective date of such change and ending on the date immediately preceding the effective date of the next such change. If the rating system of </w:t>
      </w:r>
    </w:p>
    <w:p>
      <w:pPr>
        <w:pStyle w:val="TextBody"/>
        <w:bidi w:val="0"/>
        <w:spacing w:before="0" w:after="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Moody’s or S&amp;P shall change, or if either such rating agency shall cease to be in the business of rating corporate debt obligations, the Borrower and the Lenders shall negotiate in good faith to amend this definition to reflect such changed rating system or the unavailability of ratings from such rating agency and, pending the effectiveness of any such amendment, the Applicable Rate shall be determined by reference to the rating most recently in effect prior to such change or cessation.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Arranger</w:t>
      </w:r>
      <w:r>
        <w:rPr>
          <w:color w:val="000000"/>
        </w:rPr>
        <w:t xml:space="preserve">” </w:t>
      </w:r>
      <w:r>
        <w:rPr>
          <w:rFonts w:ascii="Times New Roman;serif" w:hAnsi="Times New Roman;serif"/>
          <w:b w:val="false"/>
          <w:color w:val="000000"/>
          <w:sz w:val="24"/>
        </w:rPr>
        <w:t>means each Joint Lead Arranger and Joint Bookrunner listed on the cover page 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Assignment and Assumption</w:t>
      </w:r>
      <w:r>
        <w:rPr>
          <w:color w:val="000000"/>
        </w:rPr>
        <w:t xml:space="preserve">” </w:t>
      </w:r>
      <w:r>
        <w:rPr>
          <w:rFonts w:ascii="Times New Roman;serif" w:hAnsi="Times New Roman;serif"/>
          <w:b w:val="false"/>
          <w:color w:val="000000"/>
          <w:sz w:val="24"/>
        </w:rPr>
        <w:t xml:space="preserve">means an assignment and assumption entered into by a Lender and an assignee (with the consent of any party whose consent is required by </w:t>
      </w:r>
      <w:r>
        <w:rPr>
          <w:rFonts w:ascii="Times New Roman;serif" w:hAnsi="Times New Roman;serif"/>
          <w:b w:val="false"/>
          <w:color w:val="000000"/>
          <w:sz w:val="24"/>
          <w:u w:val="single"/>
        </w:rPr>
        <w:t>Section 9.04</w:t>
      </w:r>
      <w:r>
        <w:rPr>
          <w:rFonts w:ascii="Times New Roman;serif" w:hAnsi="Times New Roman;serif"/>
          <w:b w:val="false"/>
          <w:color w:val="000000"/>
          <w:sz w:val="24"/>
        </w:rPr>
        <w:t xml:space="preserve">), and accepted by the Administrative Agent, substantially in the form of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or any other form approved by the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Attributable Indebtedness</w:t>
      </w:r>
      <w:r>
        <w:rPr>
          <w:color w:val="000000"/>
        </w:rPr>
        <w:t xml:space="preserve">” </w:t>
      </w:r>
      <w:r>
        <w:rPr>
          <w:rFonts w:ascii="Times New Roman;serif" w:hAnsi="Times New Roman;serif"/>
          <w:b w:val="false"/>
          <w:color w:val="000000"/>
          <w:sz w:val="24"/>
        </w:rPr>
        <w:t>with respect to any Sale/Leaseback Transaction, means, as at the time of determination, the present value (discounted at the rate set forth or implicit in the terms of the lease included in such transaction) of the total obligations of the lessee for rental payments (other than amounts required to be paid on account of property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the payment of a penalty or other termination payment, such amount shall be the lesser of the amount determined assuming termination upon the first date such lease may be terminated (in which case the amount shall also include the amount of the penalty or termination payment, but no rent shall be considered as required to be paid under such lease subsequent to the first date upon which it may be so terminated) or the amount determined assuming no such termination.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Availability Period</w:t>
      </w:r>
      <w:r>
        <w:rPr>
          <w:color w:val="000000"/>
        </w:rPr>
        <w:t xml:space="preserve">” </w:t>
      </w:r>
      <w:r>
        <w:rPr>
          <w:rFonts w:ascii="Times New Roman;serif" w:hAnsi="Times New Roman;serif"/>
          <w:b w:val="false"/>
          <w:color w:val="000000"/>
          <w:sz w:val="24"/>
        </w:rPr>
        <w:t>means the period from and including the Effective Date to but excluding the earlier of the Maturity Date and the date of termination of the Commitments.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Available Tenor</w:t>
      </w:r>
      <w:r>
        <w:rPr>
          <w:color w:val="000000"/>
        </w:rPr>
        <w:t xml:space="preserve">” </w:t>
      </w:r>
      <w:r>
        <w:rPr>
          <w:rFonts w:ascii="Times New Roman;serif" w:hAnsi="Times New Roman;serif"/>
          <w:b w:val="false"/>
          <w:color w:val="000000"/>
          <w:sz w:val="24"/>
        </w:rPr>
        <w:t xml:space="preserve">means, as of any date of determination and with respect to the then-current Benchmark, as applicable, (a) if the then-current Benchmark is a term rate, any tenor for such Benchmark or (b) otherwise, any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then-removed from the definition of “Interest Period” pursuant to </w:t>
      </w:r>
      <w:r>
        <w:rPr>
          <w:rFonts w:ascii="Times New Roman;serif" w:hAnsi="Times New Roman;serif"/>
          <w:b w:val="false"/>
          <w:color w:val="000000"/>
          <w:sz w:val="24"/>
          <w:u w:val="single"/>
        </w:rPr>
        <w:t>Section 2.14(c)(iv)</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Bail-In Action</w:t>
      </w:r>
      <w:r>
        <w:rPr>
          <w:color w:val="000000"/>
        </w:rPr>
        <w:t xml:space="preserve">” </w:t>
      </w:r>
      <w:r>
        <w:rPr>
          <w:rFonts w:ascii="Times New Roman;serif" w:hAnsi="Times New Roman;serif"/>
          <w:b w:val="false"/>
          <w:color w:val="000000"/>
          <w:sz w:val="24"/>
        </w:rPr>
        <w:t>means the exercise of any Write-Down and Conversion Powers by the applicable Resolution Authority in respect of any liability of an Affected Financial Institution.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Bail-In Legislation</w:t>
      </w:r>
      <w:r>
        <w:rPr>
          <w:color w:val="000000"/>
        </w:rPr>
        <w:t xml:space="preserve">” </w:t>
      </w:r>
      <w:r>
        <w:rPr>
          <w:rFonts w:ascii="Times New Roman;serif" w:hAnsi="Times New Roman;serif"/>
          <w:b w:val="false"/>
          <w:color w:val="000000"/>
          <w:sz w:val="24"/>
        </w:rPr>
        <w:t xml:space="preserve">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w:t>
      </w:r>
    </w:p>
    <w:p>
      <w:pPr>
        <w:pStyle w:val="TextBody"/>
        <w:bidi w:val="0"/>
        <w:spacing w:before="0" w:after="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Kingdom relating to the resolution of unsound or failing banks, investment firms or other financial institutions or their affiliates (other than through liquidation, administration or other insolvency proceedings).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Benchmark</w:t>
      </w:r>
      <w:r>
        <w:rPr>
          <w:color w:val="000000"/>
        </w:rPr>
        <w:t xml:space="preserve">” </w:t>
      </w:r>
      <w:r>
        <w:rPr>
          <w:rFonts w:ascii="Times New Roman;serif" w:hAnsi="Times New Roman;serif"/>
          <w:b w:val="false"/>
          <w:color w:val="000000"/>
          <w:sz w:val="24"/>
        </w:rPr>
        <w:t>means Term SOFR, or if a Benchmark Replacement has occurred, the alternate benchmark rate that has been selected by the Administrative Agent and the Borrower as the replacement for the then-current Benchmark.</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Benchmark Replacement</w:t>
      </w:r>
      <w:r>
        <w:rPr>
          <w:color w:val="000000"/>
        </w:rPr>
        <w:t xml:space="preserve">” </w:t>
      </w:r>
      <w:r>
        <w:rPr>
          <w:rFonts w:ascii="Times New Roman;serif" w:hAnsi="Times New Roman;serif"/>
          <w:b w:val="false"/>
          <w:color w:val="000000"/>
          <w:sz w:val="24"/>
        </w:rPr>
        <w:t>means</w:t>
      </w:r>
      <w:r>
        <w:rPr>
          <w:color w:val="000000"/>
        </w:rPr>
        <w:t xml:space="preserve"> </w:t>
      </w:r>
      <w:r>
        <w:rPr>
          <w:rFonts w:ascii="Times New Roman;serif" w:hAnsi="Times New Roman;serif"/>
          <w:b w:val="false"/>
          <w:color w:val="000000"/>
          <w:sz w:val="22"/>
        </w:rPr>
        <w:t>t</w:t>
      </w:r>
      <w:r>
        <w:rPr>
          <w:rFonts w:ascii="Times New Roman;serif" w:hAnsi="Times New Roman;serif"/>
          <w:b w:val="false"/>
          <w:color w:val="000000"/>
          <w:sz w:val="24"/>
        </w:rPr>
        <w:t>he alternate benchmark rate that has been selected by the Administrative Agent and the Borrower as the replacement for the then-current Benchmark, for which the Administrative Agent has determined (which determination shall be conclusive absent manifest error) that adequate and reasonable means no longer exist for ascertaining such Benchmark. The Benchmark Replacement shall be determined by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and for any Available Tenor is the sum of: (A) such alternate benchmark rate that has been selected by the Administrative Agent and the Borrower for the applicable Corresponding Tenor and (B) the related Benchmark Replacement Adjustment. If the Benchmark Replacement as determined pursuant to this definition would be less than zero, the Benchmark Replacement will be deemed to be zero for the purposes 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Benchmark Replacement Adjustment</w:t>
      </w:r>
      <w:r>
        <w:rPr>
          <w:color w:val="000000"/>
        </w:rPr>
        <w:t xml:space="preserve">” </w:t>
      </w:r>
      <w:r>
        <w:rPr>
          <w:rFonts w:ascii="Times New Roman;serif" w:hAnsi="Times New Roman;serif"/>
          <w:b w:val="false"/>
          <w:color w:val="000000"/>
          <w:sz w:val="24"/>
        </w:rPr>
        <w:t>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giving due consideration to (i) any selection or recommendation of a spread adjustment, or method for calculating or determining such spread adjustment, for the replacement of such Available Tenor of such Benchmark with the applicable Unadjusted Benchmark Replacement by the Relevant Governmental Body or (ii) any evolving or then-prevailing market convention for determining a spread adjustment, or method for calculating or determining such spread adjustment, for the replacement of such Available Tenor of such Benchmark with the applicable Unadjusted Benchmark Replacement for Dollar-denominated syndicated credit facilities.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Beneficial Ownership Certification</w:t>
      </w:r>
      <w:r>
        <w:rPr>
          <w:color w:val="000000"/>
        </w:rPr>
        <w:t xml:space="preserve">” </w:t>
      </w:r>
      <w:r>
        <w:rPr>
          <w:rFonts w:ascii="Times New Roman;serif" w:hAnsi="Times New Roman;serif"/>
          <w:b w:val="false"/>
          <w:color w:val="000000"/>
          <w:sz w:val="24"/>
        </w:rPr>
        <w:t>means a certification regarding beneficial ownership as required by the Beneficial Ownership Regulation.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Beneficial Ownership Regulation</w:t>
      </w:r>
      <w:r>
        <w:rPr>
          <w:color w:val="000000"/>
        </w:rPr>
        <w:t xml:space="preserve">” </w:t>
      </w:r>
      <w:r>
        <w:rPr>
          <w:rFonts w:ascii="Times New Roman;serif" w:hAnsi="Times New Roman;serif"/>
          <w:b w:val="false"/>
          <w:color w:val="000000"/>
          <w:sz w:val="24"/>
        </w:rPr>
        <w:t>means 31 CFR § 1010.230.</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Benefit Plan</w:t>
      </w:r>
      <w:r>
        <w:rPr>
          <w:color w:val="000000"/>
        </w:rPr>
        <w:t xml:space="preserve">” </w:t>
      </w:r>
      <w:r>
        <w:rPr>
          <w:rFonts w:ascii="Times New Roman;serif" w:hAnsi="Times New Roman;serif"/>
          <w:b w:val="false"/>
          <w:color w:val="000000"/>
          <w:sz w:val="24"/>
        </w:rPr>
        <w:t>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before="0" w:after="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Board</w:t>
      </w:r>
      <w:r>
        <w:rPr>
          <w:color w:val="000000"/>
        </w:rPr>
        <w:t xml:space="preserve">” </w:t>
      </w:r>
      <w:r>
        <w:rPr>
          <w:rFonts w:ascii="Times New Roman;serif" w:hAnsi="Times New Roman;serif"/>
          <w:b w:val="false"/>
          <w:color w:val="000000"/>
          <w:sz w:val="24"/>
        </w:rPr>
        <w:t>means the Board of Governors of the Federal Reserve System of the United States of America.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Borrower</w:t>
      </w:r>
      <w:r>
        <w:rPr>
          <w:color w:val="000000"/>
        </w:rPr>
        <w:t xml:space="preserve">” </w:t>
      </w:r>
      <w:r>
        <w:rPr>
          <w:rFonts w:ascii="Times New Roman;serif" w:hAnsi="Times New Roman;serif"/>
          <w:b w:val="false"/>
          <w:color w:val="000000"/>
          <w:sz w:val="24"/>
        </w:rPr>
        <w:t>means Enterprise Products Operating LLC, a Texas limited liability company.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Borrowing</w:t>
      </w:r>
      <w:r>
        <w:rPr>
          <w:color w:val="000000"/>
        </w:rPr>
        <w:t xml:space="preserve">” </w:t>
      </w:r>
      <w:r>
        <w:rPr>
          <w:rFonts w:ascii="Times New Roman;serif" w:hAnsi="Times New Roman;serif"/>
          <w:b w:val="false"/>
          <w:color w:val="000000"/>
          <w:sz w:val="24"/>
        </w:rPr>
        <w:t>means Loans of the same Type, made, converted or continued on the same date and, in the case of SOFR Loans, as to which a single Interest Period is in effect.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Borrowing Request</w:t>
      </w:r>
      <w:r>
        <w:rPr>
          <w:color w:val="000000"/>
        </w:rPr>
        <w:t xml:space="preserve">” </w:t>
      </w:r>
      <w:r>
        <w:rPr>
          <w:rFonts w:ascii="Times New Roman;serif" w:hAnsi="Times New Roman;serif"/>
          <w:b w:val="false"/>
          <w:color w:val="000000"/>
          <w:sz w:val="24"/>
        </w:rPr>
        <w:t xml:space="preserve">means a request by the Borrower for a Borrowing in accordance with </w:t>
      </w:r>
      <w:r>
        <w:rPr>
          <w:rFonts w:ascii="Times New Roman;serif" w:hAnsi="Times New Roman;serif"/>
          <w:b w:val="false"/>
          <w:color w:val="000000"/>
          <w:sz w:val="24"/>
          <w:u w:val="single"/>
        </w:rPr>
        <w:t>Section 2.03</w:t>
      </w:r>
      <w:r>
        <w:rPr>
          <w:rFonts w:ascii="Times New Roman;serif" w:hAnsi="Times New Roman;serif"/>
          <w:b w:val="false"/>
          <w:color w:val="000000"/>
          <w:sz w:val="24"/>
        </w:rPr>
        <w:t xml:space="preserve">, and being in the form of attached </w:t>
      </w:r>
      <w:r>
        <w:rPr>
          <w:rFonts w:ascii="Times New Roman;serif" w:hAnsi="Times New Roman;serif"/>
          <w:b w:val="false"/>
          <w:color w:val="000000"/>
          <w:sz w:val="24"/>
          <w:u w:val="single"/>
        </w:rPr>
        <w:t>Exhibit B</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Business Day</w:t>
      </w:r>
      <w:r>
        <w:rPr>
          <w:color w:val="000000"/>
        </w:rPr>
        <w:t xml:space="preserve">” </w:t>
      </w:r>
      <w:r>
        <w:rPr>
          <w:rFonts w:ascii="Times New Roman;serif" w:hAnsi="Times New Roman;serif"/>
          <w:b w:val="false"/>
          <w:color w:val="000000"/>
          <w:sz w:val="24"/>
        </w:rPr>
        <w:t xml:space="preserve">means any day that is not a Saturday, Sunday or other day on which commercial banks in New York City are authorized or required by law to remain closed;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that</w:t>
      </w:r>
      <w:r>
        <w:rPr>
          <w:rFonts w:ascii="Times New Roman;serif" w:hAnsi="Times New Roman;serif"/>
          <w:b w:val="false"/>
          <w:color w:val="000000"/>
          <w:sz w:val="24"/>
        </w:rPr>
        <w:t>, when used in connection with a SOFR Loan, or any ABR Loan as to which the interest rate is determined by reference to Term SOFR, the term “</w:t>
      </w:r>
      <w:r>
        <w:rPr>
          <w:rFonts w:ascii="Times New Roman;serif" w:hAnsi="Times New Roman;serif"/>
          <w:b w:val="false"/>
          <w:color w:val="000000"/>
          <w:sz w:val="24"/>
          <w:u w:val="single"/>
        </w:rPr>
        <w:t>Business Day</w:t>
      </w:r>
      <w:r>
        <w:rPr>
          <w:color w:val="000000"/>
        </w:rPr>
        <w:t xml:space="preserve">” </w:t>
      </w:r>
      <w:r>
        <w:rPr>
          <w:rFonts w:ascii="Times New Roman;serif" w:hAnsi="Times New Roman;serif"/>
          <w:b w:val="false"/>
          <w:color w:val="000000"/>
          <w:sz w:val="24"/>
        </w:rPr>
        <w:t>shall also exclude any day that is not a U.S. Government Securities Business Day.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CERCLA</w:t>
      </w:r>
      <w:r>
        <w:rPr>
          <w:color w:val="000000"/>
        </w:rPr>
        <w:t xml:space="preserve">” </w:t>
      </w:r>
      <w:r>
        <w:rPr>
          <w:rFonts w:ascii="Times New Roman;serif" w:hAnsi="Times New Roman;serif"/>
          <w:b w:val="false"/>
          <w:color w:val="000000"/>
          <w:sz w:val="24"/>
        </w:rPr>
        <w:t>means the Comprehensive Environmental, Response, Compensation, and Liability Act of 1980, as amended.</w:t>
      </w:r>
    </w:p>
    <w:p>
      <w:pPr>
        <w:pStyle w:val="TextBody"/>
        <w:bidi w:val="0"/>
        <w:spacing w:lineRule="auto" w:line="288" w:before="0" w:after="240"/>
        <w:jc w:val="both"/>
        <w:rPr/>
      </w:pPr>
      <w:r>
        <w:rPr>
          <w:color w:val="000000"/>
        </w:rPr>
        <w:t>    “</w:t>
      </w:r>
      <w:r>
        <w:rPr>
          <w:rFonts w:ascii="Times New Roman;serif" w:hAnsi="Times New Roman;serif"/>
          <w:b w:val="false"/>
          <w:color w:val="000000"/>
          <w:sz w:val="24"/>
          <w:u w:val="single"/>
        </w:rPr>
        <w:t>Change in Control</w:t>
      </w:r>
      <w:r>
        <w:rPr>
          <w:color w:val="000000"/>
        </w:rPr>
        <w:t xml:space="preserve">” </w:t>
      </w:r>
      <w:r>
        <w:rPr>
          <w:rFonts w:ascii="Times New Roman;serif" w:hAnsi="Times New Roman;serif"/>
          <w:b w:val="false"/>
          <w:color w:val="000000"/>
          <w:sz w:val="24"/>
        </w:rPr>
        <w:t>means the occurrence of any of the following events: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Continuing Directors cease for any reason to constitute collectively a majority of the members of the board of directors of Manager or Enterprise GP then in office;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any Person or related Persons constituting a group (as such term is used in Rule 13d-5 under the Securities Exchange Act of 1934, as amended) obtains direct or indirect beneficial ownership interest in the Manager or Enterprise GP greater than the direct or indirect beneficial ownership interests of EPCO and its Affiliates in the Manager or Enterprise GP; 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Manager and EPD shall cease to own, directly or indirectly, all of the Equity Interests (including all securities which are convertible into Equity Interests) of Borrower.</w:t>
      </w:r>
    </w:p>
    <w:p>
      <w:pPr>
        <w:pStyle w:val="TextBody"/>
        <w:bidi w:val="0"/>
        <w:spacing w:lineRule="auto" w:line="288" w:before="0" w:after="240"/>
        <w:jc w:val="both"/>
        <w:rPr/>
      </w:pPr>
      <w:r>
        <w:rPr>
          <w:rFonts w:ascii="Times New Roman;serif" w:hAnsi="Times New Roman;serif"/>
          <w:b w:val="false"/>
          <w:color w:val="000000"/>
          <w:sz w:val="24"/>
        </w:rPr>
        <w:t>As used herein, “</w:t>
      </w:r>
      <w:r>
        <w:rPr>
          <w:rFonts w:ascii="Times New Roman;serif" w:hAnsi="Times New Roman;serif"/>
          <w:b w:val="false"/>
          <w:color w:val="000000"/>
          <w:sz w:val="24"/>
          <w:u w:val="single"/>
        </w:rPr>
        <w:t>Continuing Director</w:t>
      </w:r>
      <w:r>
        <w:rPr>
          <w:color w:val="000000"/>
        </w:rPr>
        <w:t xml:space="preserve">” </w:t>
      </w:r>
      <w:r>
        <w:rPr>
          <w:rFonts w:ascii="Times New Roman;serif" w:hAnsi="Times New Roman;serif"/>
          <w:b w:val="false"/>
          <w:color w:val="000000"/>
          <w:sz w:val="24"/>
        </w:rPr>
        <w:t>means any member of the board of directors of Manager or Enterprise GP, respectively, who (x) is a member of such board of directors as of the date hereof, or (y) was nominated for election or elected to such board of directors with the approval of a majority of the Continuing Directors who were members of such board at the time of such nomination or election.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Change in Law</w:t>
      </w:r>
      <w:r>
        <w:rPr>
          <w:color w:val="000000"/>
        </w:rPr>
        <w:t xml:space="preserve">” </w:t>
      </w:r>
      <w:r>
        <w:rPr>
          <w:rFonts w:ascii="Times New Roman;serif" w:hAnsi="Times New Roman;serif"/>
          <w:b w:val="false"/>
          <w:color w:val="000000"/>
          <w:sz w:val="24"/>
        </w:rPr>
        <w:t xml:space="preserve">means (a) the adoption of any law, rule or regulation after the date of this Agreement, (b) any change in any law, rule or regulation or in the interpretation or application thereof by any Governmental Authority after the date of this Agreement or (c) compliance by any Lender (or, for purposes of </w:t>
      </w:r>
      <w:r>
        <w:rPr>
          <w:rFonts w:ascii="Times New Roman;serif" w:hAnsi="Times New Roman;serif"/>
          <w:b w:val="false"/>
          <w:color w:val="000000"/>
          <w:sz w:val="24"/>
          <w:u w:val="single"/>
        </w:rPr>
        <w:t>Section 2.15(a)</w:t>
      </w:r>
      <w:r>
        <w:rPr>
          <w:rFonts w:ascii="Times New Roman;serif" w:hAnsi="Times New Roman;serif"/>
          <w:b w:val="false"/>
          <w:color w:val="000000"/>
          <w:sz w:val="24"/>
        </w:rPr>
        <w:t xml:space="preserve">, by any lending office of such Lender or by such Lender’s holding company, if any) with any request, guideline or directive (whether or not having the force of law) of any Governmental Authority made or issued after the </w:t>
      </w:r>
    </w:p>
    <w:p>
      <w:pPr>
        <w:pStyle w:val="TextBody"/>
        <w:bidi w:val="0"/>
        <w:spacing w:before="0" w:after="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date of this Agreement;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regulatory authorities, in each case pursuant to Basel III, shall in each case be deemed to be a “Change in Law”, regardless of the date enacted, adopted, promulgated or issued.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Code</w:t>
      </w:r>
      <w:r>
        <w:rPr>
          <w:color w:val="000000"/>
        </w:rPr>
        <w:t xml:space="preserve">” </w:t>
      </w:r>
      <w:r>
        <w:rPr>
          <w:rFonts w:ascii="Times New Roman;serif" w:hAnsi="Times New Roman;serif"/>
          <w:b w:val="false"/>
          <w:color w:val="000000"/>
          <w:sz w:val="24"/>
        </w:rPr>
        <w:t>means the Internal Revenue Code of 1986, as amended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Co-Documentation Agent</w:t>
      </w:r>
      <w:r>
        <w:rPr>
          <w:color w:val="000000"/>
        </w:rPr>
        <w:t xml:space="preserve">” </w:t>
      </w:r>
      <w:r>
        <w:rPr>
          <w:rFonts w:ascii="Times New Roman;serif" w:hAnsi="Times New Roman;serif"/>
          <w:b w:val="false"/>
          <w:color w:val="000000"/>
          <w:sz w:val="24"/>
        </w:rPr>
        <w:t>means each Co-Documentation Agent listed on the cover page 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Commercial Operation Date</w:t>
      </w:r>
      <w:r>
        <w:rPr>
          <w:color w:val="000000"/>
        </w:rPr>
        <w:t xml:space="preserve">” </w:t>
      </w:r>
      <w:r>
        <w:rPr>
          <w:rFonts w:ascii="Times New Roman;serif" w:hAnsi="Times New Roman;serif"/>
          <w:b w:val="false"/>
          <w:color w:val="000000"/>
          <w:sz w:val="24"/>
        </w:rPr>
        <w:t>means the date on which a Material Project is substantially complete and commercially operable.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Commitment</w:t>
      </w:r>
      <w:r>
        <w:rPr>
          <w:color w:val="000000"/>
        </w:rPr>
        <w:t xml:space="preserve">” </w:t>
      </w:r>
      <w:r>
        <w:rPr>
          <w:rFonts w:ascii="Times New Roman;serif" w:hAnsi="Times New Roman;serif"/>
          <w:b w:val="false"/>
          <w:color w:val="000000"/>
          <w:sz w:val="24"/>
        </w:rPr>
        <w:t xml:space="preserve">means, with respect to each Lender, the commitment of such Lender to make Loans hereunder, expressed as an amount representing the maximum aggregate amount of such Lender’s Exposure hereunder, as such commitment may be (a) reduced from time to time pursuant to </w:t>
      </w:r>
      <w:r>
        <w:rPr>
          <w:rFonts w:ascii="Times New Roman;serif" w:hAnsi="Times New Roman;serif"/>
          <w:b w:val="false"/>
          <w:color w:val="000000"/>
          <w:sz w:val="24"/>
          <w:u w:val="single"/>
        </w:rPr>
        <w:t>Section 2.09</w:t>
      </w:r>
      <w:r>
        <w:rPr>
          <w:color w:val="000000"/>
        </w:rPr>
        <w:t xml:space="preserve"> </w:t>
      </w:r>
      <w:r>
        <w:rPr>
          <w:rFonts w:ascii="Times New Roman;serif" w:hAnsi="Times New Roman;serif"/>
          <w:b w:val="false"/>
          <w:color w:val="000000"/>
          <w:sz w:val="24"/>
        </w:rPr>
        <w:t xml:space="preserve">and (b) reduced or increased from time to time pursuant to assignments by or to such Lender pursuant to </w:t>
      </w:r>
      <w:r>
        <w:rPr>
          <w:rFonts w:ascii="Times New Roman;serif" w:hAnsi="Times New Roman;serif"/>
          <w:b w:val="false"/>
          <w:color w:val="000000"/>
          <w:sz w:val="24"/>
          <w:u w:val="single"/>
        </w:rPr>
        <w:t>Section 9.04</w:t>
      </w:r>
      <w:r>
        <w:rPr>
          <w:rFonts w:ascii="Times New Roman;serif" w:hAnsi="Times New Roman;serif"/>
          <w:b w:val="false"/>
          <w:color w:val="000000"/>
          <w:sz w:val="24"/>
        </w:rPr>
        <w:t xml:space="preserve">. The initial amount of each Lender’s Commitment is set forth on </w:t>
      </w:r>
      <w:r>
        <w:rPr>
          <w:rFonts w:ascii="Times New Roman;serif" w:hAnsi="Times New Roman;serif"/>
          <w:b w:val="false"/>
          <w:color w:val="000000"/>
          <w:sz w:val="24"/>
          <w:u w:val="single"/>
        </w:rPr>
        <w:t>Schedule 2.01</w:t>
      </w:r>
      <w:r>
        <w:rPr>
          <w:rFonts w:ascii="Times New Roman;serif" w:hAnsi="Times New Roman;serif"/>
          <w:b w:val="false"/>
          <w:color w:val="000000"/>
          <w:sz w:val="24"/>
        </w:rPr>
        <w:t>, or in the Assignment and Assumption pursuant to which such Lender shall have assumed its Commitment, as applicable. The initial aggregate amount of the Lenders’ Commitments as of the Effective Date is $1,000,000,000.</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Common Units</w:t>
      </w:r>
      <w:r>
        <w:rPr>
          <w:color w:val="000000"/>
        </w:rPr>
        <w:t xml:space="preserve">” </w:t>
      </w:r>
      <w:r>
        <w:rPr>
          <w:rFonts w:ascii="Times New Roman;serif" w:hAnsi="Times New Roman;serif"/>
          <w:b w:val="false"/>
          <w:color w:val="000000"/>
          <w:sz w:val="24"/>
        </w:rPr>
        <w:t>means the common units of limited partner interests in EPD.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Company Agreement</w:t>
      </w:r>
      <w:r>
        <w:rPr>
          <w:color w:val="000000"/>
        </w:rPr>
        <w:t xml:space="preserve">” </w:t>
      </w:r>
      <w:r>
        <w:rPr>
          <w:rFonts w:ascii="Times New Roman;serif" w:hAnsi="Times New Roman;serif"/>
          <w:b w:val="false"/>
          <w:color w:val="000000"/>
          <w:sz w:val="24"/>
        </w:rPr>
        <w:t>means the Company Agreement of the Borrower dated as of June 30, 2007 between Manager and EPD, as members, substantially in the form provided to the Lenders, as such Company Agreement may be amended, modified and supplemented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Conforming Changes</w:t>
      </w:r>
      <w:r>
        <w:rPr>
          <w:color w:val="000000"/>
        </w:rPr>
        <w:t xml:space="preserve">” </w:t>
      </w:r>
      <w:r>
        <w:rPr>
          <w:rFonts w:ascii="Times New Roman;serif" w:hAnsi="Times New Roman;serif"/>
          <w:b w:val="false"/>
          <w:color w:val="000000"/>
          <w:sz w:val="24"/>
        </w:rPr>
        <w:t>means, with respect to Term SOFR or any Benchmark Replacement, any technical, administrative or operational changes (including changes to the definition of “Alternate Base Rate,” the definition of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in its reasonable discretion (in consultation with the Borrower), may be appropriate to reflect the adoption and implementation of such Benchmark Replacement and to permit the administration thereof by the Administrative Agent in a manner substantially consistent with market practice (or, if the Administrative Agent decides, in its reasonable discretion, that adoption of any portion of such market practice is not administratively feasible or if the Administrative Agent determines, in its reasonable discretion, that no market practice for the administration of such Benchmark Replacement exists, in such other manner of administration as the Administrative Agent decides is reasonably necessary in connection with the administration of this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Consolidated EBITDA</w:t>
      </w:r>
      <w:r>
        <w:rPr>
          <w:color w:val="000000"/>
        </w:rPr>
        <w:t xml:space="preserve">” </w:t>
      </w:r>
      <w:r>
        <w:rPr>
          <w:rFonts w:ascii="Times New Roman;serif" w:hAnsi="Times New Roman;serif"/>
          <w:b w:val="false"/>
          <w:color w:val="000000"/>
          <w:sz w:val="24"/>
        </w:rPr>
        <w:t xml:space="preserve">means for any period, the sum of (a) the consolidated net income of the Borrower and its consolidated Subsidiaries (excluding Project Finance Subsidiaries) for such period plus, to the extent deducted in determining consolidated net income for such period, the aggregate amount of (i) Consolidated Interest Expense, (ii) income or gross receipts tax (or franchise tax or margin tax in the nature of an income or gross receipts tax) expense, (iii) depreciation and amortization expense, and (iv) non-cash charges,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 xml:space="preserve">(b) equity in earnings from unconsolidated subsidiaries of the Borrower to the extent included therein,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(c) the amount of cash dividends or distributions payable with respect to such period by a Project Finance Subsidiary or an unconsolidated subsidiary which are actually received by the Borrower or a Subsidiary (other than a Project Finance Subsidiary) during such period or on or prior to the date the financial statements with respect to such period referred to in </w:t>
      </w:r>
      <w:r>
        <w:rPr>
          <w:rFonts w:ascii="Times New Roman;serif" w:hAnsi="Times New Roman;serif"/>
          <w:b w:val="false"/>
          <w:color w:val="000000"/>
          <w:sz w:val="24"/>
          <w:u w:val="single"/>
        </w:rPr>
        <w:t>Section 5.01</w:t>
      </w:r>
      <w:r>
        <w:rPr>
          <w:color w:val="000000"/>
        </w:rPr>
        <w:t xml:space="preserve"> </w:t>
      </w:r>
      <w:r>
        <w:rPr>
          <w:rFonts w:ascii="Times New Roman;serif" w:hAnsi="Times New Roman;serif"/>
          <w:b w:val="false"/>
          <w:color w:val="000000"/>
          <w:sz w:val="24"/>
        </w:rPr>
        <w:t xml:space="preserve">are required to be delivered by the Borrower,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(d) the amount of all payments during such period on leases of the type referred to in clause (d) of the definition herein of Indebtedness and the amount of all payments during such period under other off-balance sheet loans and financings of the type referred to in such clause (d),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 xml:space="preserve">(e) the amount of any cash dividends, repayments of loans or advances, releases or discharges of guarantees or other obligations or other transfers of property or returns of capital previously received by the Borrower or a Subsidiary (other than a Project Finance Subsidiary) from a Project Finance Subsidiary that during such period were either (x) recovered pursuant to recourse provisions with respect to a Project Financing at such Project Finance Subsidiary or (y) reinvested by the Borrower or a Subsidiary in such Project Finance Subsidiary,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(f) non-cash gains.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Consolidated Indebtedness</w:t>
      </w:r>
      <w:r>
        <w:rPr>
          <w:color w:val="000000"/>
        </w:rPr>
        <w:t xml:space="preserve">” </w:t>
      </w:r>
      <w:r>
        <w:rPr>
          <w:rFonts w:ascii="Times New Roman;serif" w:hAnsi="Times New Roman;serif"/>
          <w:b w:val="false"/>
          <w:color w:val="000000"/>
          <w:sz w:val="24"/>
        </w:rPr>
        <w:t>means for any date, the Indebtedness of the Borrower and its consolidated Subsidiaries (excluding Project Finance Subsidiaries) including, without duplication, guaranties of funded debt, determined on a consolidated basis as of such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Consolidated Interest Expense</w:t>
      </w:r>
      <w:r>
        <w:rPr>
          <w:color w:val="000000"/>
        </w:rPr>
        <w:t xml:space="preserve">” </w:t>
      </w:r>
      <w:r>
        <w:rPr>
          <w:rFonts w:ascii="Times New Roman;serif" w:hAnsi="Times New Roman;serif"/>
          <w:b w:val="false"/>
          <w:color w:val="000000"/>
          <w:sz w:val="24"/>
        </w:rPr>
        <w:t>means for any period, the interest expense of the Borrower and its consolidated Subsidiaries (excluding Project Finance Subsidiaries), determined on a consolidated basis for such period.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Consolidated Net Tangible Assets</w:t>
      </w:r>
      <w:r>
        <w:rPr>
          <w:color w:val="000000"/>
        </w:rPr>
        <w:t xml:space="preserve">” </w:t>
      </w:r>
      <w:r>
        <w:rPr>
          <w:rFonts w:ascii="Times New Roman;serif" w:hAnsi="Times New Roman;serif"/>
          <w:b w:val="false"/>
          <w:color w:val="000000"/>
          <w:sz w:val="24"/>
        </w:rPr>
        <w:t>means, at any date of determination, the total amount of assets of EPD and its consolidated subsidiaries after deducting therefrom:</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all current liabilities (excluding (A) any current liabilities that by their terms are extendable or renewable at the option of the obligor thereon to a time more than 12 months after the time as of which the amount thereof is being computed, and (B) current maturities of long-term debt);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value (net of any applicable reserves) of all goodwill, trade names, trademarks, patents and other like intangible assets, all as set forth, or on a pro forma basis would be set forth, on the consolidated balance sheet of EPD and its consolidated subsidiaries for EPD’s most recently completed fiscal quarter, prepared in accordance with GAAP.</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Consolidated Net Worth</w:t>
      </w:r>
      <w:r>
        <w:rPr>
          <w:color w:val="000000"/>
        </w:rPr>
        <w:t xml:space="preserve">” </w:t>
      </w:r>
      <w:r>
        <w:rPr>
          <w:rFonts w:ascii="Times New Roman;serif" w:hAnsi="Times New Roman;serif"/>
          <w:b w:val="false"/>
          <w:color w:val="000000"/>
          <w:sz w:val="24"/>
        </w:rPr>
        <w:t xml:space="preserve">means as to any Person, at any date of determination, the sum of (i) preferred stock (if any), (ii) an amount equal to (a) the face amount of outstanding Hybrid Securities not in excess of 15% of Consolidated Total Capitalization </w:t>
      </w:r>
      <w:r>
        <w:rPr>
          <w:rFonts w:ascii="Times New Roman;serif" w:hAnsi="Times New Roman;serif"/>
          <w:b w:val="false"/>
          <w:color w:val="000000"/>
          <w:sz w:val="24"/>
          <w:u w:val="single"/>
        </w:rPr>
        <w:t>times</w:t>
      </w:r>
      <w:r>
        <w:rPr>
          <w:color w:val="000000"/>
        </w:rPr>
        <w:t xml:space="preserve"> </w:t>
      </w:r>
      <w:r>
        <w:rPr>
          <w:rFonts w:ascii="Times New Roman;serif" w:hAnsi="Times New Roman;serif"/>
          <w:b w:val="false"/>
          <w:color w:val="000000"/>
          <w:sz w:val="24"/>
        </w:rPr>
        <w:t>(b) sixty-two and one-half percent (62.5%), (iii) par value of common stock, (iv) capital in excess of par value of common stock, (v) limited liability company capital or equity, and (vi) retained earnings, less treasury stock (if any), of such Person, all as determined on a consolidated basis.</w:t>
      </w:r>
    </w:p>
    <w:p>
      <w:pPr>
        <w:pStyle w:val="TextBody"/>
        <w:bidi w:val="0"/>
        <w:spacing w:before="0" w:after="0"/>
        <w:jc w:val="both"/>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Consolidated Total Capitalization</w:t>
      </w:r>
      <w:r>
        <w:rPr>
          <w:color w:val="000000"/>
        </w:rPr>
        <w:t xml:space="preserve">” </w:t>
      </w:r>
      <w:r>
        <w:rPr>
          <w:rFonts w:ascii="Times New Roman;serif" w:hAnsi="Times New Roman;serif"/>
          <w:b w:val="false"/>
          <w:color w:val="000000"/>
          <w:sz w:val="24"/>
        </w:rPr>
        <w:t>means the sum of (i) Consolidated Indebtedness and (ii) Borrower’s Consolidated Net Worth.</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Control</w:t>
      </w:r>
      <w:r>
        <w:rPr>
          <w:color w:val="000000"/>
        </w:rPr>
        <w:t xml:space="preserve">” </w:t>
      </w:r>
      <w:r>
        <w:rPr>
          <w:rFonts w:ascii="Times New Roman;serif" w:hAnsi="Times New Roman;serif"/>
          <w:b w:val="false"/>
          <w:color w:val="000000"/>
          <w:sz w:val="24"/>
        </w:rPr>
        <w:t>means the possession, directly or indirectly, of the power to direct or cause the direction of the management or policies of a Person, whether through the ability to exercise voting power, by contract or otherwise. “</w:t>
      </w:r>
      <w:r>
        <w:rPr>
          <w:rFonts w:ascii="Times New Roman;serif" w:hAnsi="Times New Roman;serif"/>
          <w:b w:val="false"/>
          <w:color w:val="000000"/>
          <w:sz w:val="24"/>
          <w:u w:val="single"/>
        </w:rPr>
        <w:t>Controlling</w:t>
      </w:r>
      <w:r>
        <w:rPr>
          <w:color w:val="000000"/>
        </w:rPr>
        <w:t xml:space="preserve">” </w:t>
      </w:r>
      <w:r>
        <w:rPr>
          <w:rFonts w:ascii="Times New Roman;serif" w:hAnsi="Times New Roman;serif"/>
          <w:b w:val="false"/>
          <w:color w:val="000000"/>
          <w:sz w:val="24"/>
        </w:rPr>
        <w:t>and “</w:t>
      </w:r>
      <w:r>
        <w:rPr>
          <w:rFonts w:ascii="Times New Roman;serif" w:hAnsi="Times New Roman;serif"/>
          <w:b w:val="false"/>
          <w:color w:val="000000"/>
          <w:sz w:val="24"/>
          <w:u w:val="single"/>
        </w:rPr>
        <w:t>Controlled</w:t>
      </w:r>
      <w:r>
        <w:rPr>
          <w:color w:val="000000"/>
        </w:rPr>
        <w:t xml:space="preserve">” </w:t>
      </w:r>
      <w:r>
        <w:rPr>
          <w:rFonts w:ascii="Times New Roman;serif" w:hAnsi="Times New Roman;serif"/>
          <w:b w:val="false"/>
          <w:color w:val="000000"/>
          <w:sz w:val="24"/>
        </w:rPr>
        <w:t>have meanings correlative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Corresponding Tenor</w:t>
      </w:r>
      <w:r>
        <w:rPr>
          <w:color w:val="000000"/>
        </w:rPr>
        <w:t xml:space="preserve">” </w:t>
      </w:r>
      <w:r>
        <w:rPr>
          <w:rFonts w:ascii="Times New Roman;serif" w:hAnsi="Times New Roman;serif"/>
          <w:b w:val="false"/>
          <w:color w:val="000000"/>
          <w:sz w:val="24"/>
        </w:rPr>
        <w:t>with respect to any Available Tenor means, as applicable, either a tenor (including overnight) or an interest payment period having approximately the same length (disregarding business day adjustment) as such Available Tenor.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Co-Syndication Agent</w:t>
      </w:r>
      <w:r>
        <w:rPr>
          <w:color w:val="000000"/>
        </w:rPr>
        <w:t xml:space="preserve">” </w:t>
      </w:r>
      <w:r>
        <w:rPr>
          <w:rFonts w:ascii="Times New Roman;serif" w:hAnsi="Times New Roman;serif"/>
          <w:b w:val="false"/>
          <w:color w:val="000000"/>
          <w:sz w:val="24"/>
        </w:rPr>
        <w:t>means each Co-Syndication Agent listed on the cover page 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Debt Coverage Ratio</w:t>
      </w:r>
      <w:r>
        <w:rPr>
          <w:color w:val="000000"/>
        </w:rPr>
        <w:t xml:space="preserve">” </w:t>
      </w:r>
      <w:r>
        <w:rPr>
          <w:rFonts w:ascii="Times New Roman;serif" w:hAnsi="Times New Roman;serif"/>
          <w:b w:val="false"/>
          <w:color w:val="000000"/>
          <w:sz w:val="24"/>
        </w:rPr>
        <w:t>means the ratio of Consolidated Indebtedness to Consolidated EBITDA.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Default</w:t>
      </w:r>
      <w:r>
        <w:rPr>
          <w:color w:val="000000"/>
        </w:rPr>
        <w:t xml:space="preserve">” </w:t>
      </w:r>
      <w:r>
        <w:rPr>
          <w:rFonts w:ascii="Times New Roman;serif" w:hAnsi="Times New Roman;serif"/>
          <w:b w:val="false"/>
          <w:color w:val="000000"/>
          <w:sz w:val="24"/>
        </w:rPr>
        <w:t>means any event or condition which constitutes an Event of Default or which upon notice, lapse of time or both would, unless cured or waived, become an Event of Default.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Defaulting Lender</w:t>
      </w:r>
      <w:r>
        <w:rPr>
          <w:color w:val="000000"/>
        </w:rPr>
        <w:t xml:space="preserve">” </w:t>
      </w:r>
      <w:r>
        <w:rPr>
          <w:rFonts w:ascii="Times New Roman;serif" w:hAnsi="Times New Roman;serif"/>
          <w:b w:val="false"/>
          <w:color w:val="000000"/>
          <w:sz w:val="24"/>
        </w:rPr>
        <w:t xml:space="preserve">means at any time, subject to </w:t>
      </w:r>
      <w:r>
        <w:rPr>
          <w:rFonts w:ascii="Times New Roman;serif" w:hAnsi="Times New Roman;serif"/>
          <w:b w:val="false"/>
          <w:color w:val="000000"/>
          <w:sz w:val="24"/>
          <w:u w:val="single"/>
        </w:rPr>
        <w:t>Section 2.21(b)</w:t>
      </w:r>
      <w:r>
        <w:rPr>
          <w:rFonts w:ascii="Times New Roman;serif" w:hAnsi="Times New Roman;serif"/>
          <w:b w:val="false"/>
          <w:color w:val="000000"/>
          <w:sz w:val="24"/>
        </w:rPr>
        <w:t>, (i) any Lender that has failed for two or more Business Days to comply with its obligations under this Agreement to make a Loan or make any other payment due hereunder (each, a “</w:t>
      </w:r>
      <w:r>
        <w:rPr>
          <w:rFonts w:ascii="Times New Roman;serif" w:hAnsi="Times New Roman;serif"/>
          <w:b w:val="false"/>
          <w:color w:val="000000"/>
          <w:sz w:val="24"/>
          <w:u w:val="single"/>
        </w:rPr>
        <w:t>funding obligation</w:t>
      </w:r>
      <w:r>
        <w:rPr>
          <w:color w:val="000000"/>
        </w:rPr>
        <w:t>”</w:t>
      </w:r>
      <w:r>
        <w:rPr>
          <w:rFonts w:ascii="Times New Roman;serif" w:hAnsi="Times New Roman;serif"/>
          <w:b w:val="false"/>
          <w:color w:val="000000"/>
          <w:sz w:val="24"/>
        </w:rPr>
        <w:t xml:space="preserve">), (ii) any Lender that has notified the Administrative Agent or the Borrower in writing, or has stated publicly, that it does not intend to comply with its funding obligations hereunder or generally under other agreements in which it commits to extend credit and has not retracted such statement or announcement, (iii) any Lender that has defaulted on its funding obligations under any other loan agreement or credit agreement or other financing agreement, (iv) any Lender that has, for three or more Business Days after written request of the Administrative Agent or the Borrower, failed to confirm in writing to the Administrative Agent and the Borrower that it will comply with its prospective funding obligations hereunder (provided, that such Lender will cease to be a Defaulting Lender pursuant to this clause (iv) upon the Administrative Agent’s and the Borrower’s receipt of such written confirmation), or (v) any Lender (x) with respect to which a Lender Insolvency Event has occurred and is continuing with respect to such Lender or its Parent Company or (y) that has, or its Parent Company has, become the subject of a Bail-In Action. Any determination by the Administrative Agent that a Lender is a Defaulting Lender under any of clauses (i) through (v) above will be conclusive and binding absent manifest error, and such Lender will be deemed to be a Defaulting Lender (subject to </w:t>
      </w:r>
      <w:r>
        <w:rPr>
          <w:rFonts w:ascii="Times New Roman;serif" w:hAnsi="Times New Roman;serif"/>
          <w:b w:val="false"/>
          <w:color w:val="000000"/>
          <w:sz w:val="24"/>
          <w:u w:val="single"/>
        </w:rPr>
        <w:t>Section 2.21(b)</w:t>
      </w:r>
      <w:r>
        <w:rPr>
          <w:rFonts w:ascii="Times New Roman;serif" w:hAnsi="Times New Roman;serif"/>
          <w:b w:val="false"/>
          <w:color w:val="000000"/>
          <w:sz w:val="24"/>
        </w:rPr>
        <w:t xml:space="preserve">) upon notification of such determination by the Administrative Agent to the Borrower and the Lenders.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Designated Persons</w:t>
      </w:r>
      <w:r>
        <w:rPr>
          <w:color w:val="000000"/>
        </w:rPr>
        <w:t xml:space="preserve">” </w:t>
      </w:r>
      <w:r>
        <w:rPr>
          <w:rFonts w:ascii="Times New Roman;serif" w:hAnsi="Times New Roman;serif"/>
          <w:b w:val="false"/>
          <w:color w:val="000000"/>
          <w:sz w:val="24"/>
        </w:rPr>
        <w:t>means a person or entity: (i) listed in the annex to, or otherwise the subject of the provisions of, any executive order administered by OFAC or the U.S. Department of State or (ii) named as a “Specially Designated National and Blocked Person” or a “Foreign Sanctions Evaders” on the most current list published by OFAC at its official website or any replacement website or other replacement official publication of such list; or is otherwise the subject of any Sanctions Laws and Regulations.</w:t>
      </w:r>
    </w:p>
    <w:p>
      <w:pPr>
        <w:pStyle w:val="TextBody"/>
        <w:bidi w:val="0"/>
        <w:spacing w:before="0" w:after="0"/>
        <w:jc w:val="both"/>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Disclosed Matters</w:t>
      </w:r>
      <w:r>
        <w:rPr>
          <w:color w:val="000000"/>
        </w:rPr>
        <w:t xml:space="preserve">” </w:t>
      </w:r>
      <w:r>
        <w:rPr>
          <w:rFonts w:ascii="Times New Roman;serif" w:hAnsi="Times New Roman;serif"/>
          <w:b w:val="false"/>
          <w:color w:val="000000"/>
          <w:sz w:val="24"/>
        </w:rPr>
        <w:t>means the actions, suits and proceedings and the environmental matters disclosed in Schedule 3.05.</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Dollars</w:t>
      </w:r>
      <w:r>
        <w:rPr>
          <w:color w:val="000000"/>
        </w:rPr>
        <w:t>”</w:t>
      </w:r>
      <w:r>
        <w:rPr>
          <w:rFonts w:ascii="Times New Roman;serif" w:hAnsi="Times New Roman;serif"/>
          <w:b w:val="false"/>
          <w:color w:val="000000"/>
          <w:sz w:val="24"/>
        </w:rPr>
        <w:t>, “</w:t>
      </w:r>
      <w:r>
        <w:rPr>
          <w:rFonts w:ascii="Times New Roman;serif" w:hAnsi="Times New Roman;serif"/>
          <w:b w:val="false"/>
          <w:color w:val="000000"/>
          <w:sz w:val="24"/>
          <w:u w:val="single"/>
        </w:rPr>
        <w:t>dollars</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w:t>
      </w:r>
      <w:r>
        <w:rPr>
          <w:color w:val="000000"/>
        </w:rPr>
        <w:t xml:space="preserve">” </w:t>
      </w:r>
      <w:r>
        <w:rPr>
          <w:rFonts w:ascii="Times New Roman;serif" w:hAnsi="Times New Roman;serif"/>
          <w:b w:val="false"/>
          <w:color w:val="000000"/>
          <w:sz w:val="24"/>
        </w:rPr>
        <w:t>refers to lawful money of the United States of America.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EEA Financial Institution</w:t>
      </w:r>
      <w:r>
        <w:rPr>
          <w:color w:val="000000"/>
        </w:rPr>
        <w:t xml:space="preserve">” </w:t>
      </w:r>
      <w:r>
        <w:rPr>
          <w:rFonts w:ascii="Times New Roman;serif" w:hAnsi="Times New Roman;serif"/>
          <w:b w:val="false"/>
          <w:color w:val="000000"/>
          <w:sz w:val="24"/>
        </w:rPr>
        <w:t>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EEA Member Country</w:t>
      </w:r>
      <w:r>
        <w:rPr>
          <w:color w:val="000000"/>
        </w:rPr>
        <w:t xml:space="preserve">” </w:t>
      </w:r>
      <w:r>
        <w:rPr>
          <w:rFonts w:ascii="Times New Roman;serif" w:hAnsi="Times New Roman;serif"/>
          <w:b w:val="false"/>
          <w:color w:val="000000"/>
          <w:sz w:val="24"/>
        </w:rPr>
        <w:t>means any of the member states of the European Union, Iceland, Liechtenstein, and Norway.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EEA Resolution Authority</w:t>
      </w:r>
      <w:r>
        <w:rPr>
          <w:color w:val="000000"/>
        </w:rPr>
        <w:t xml:space="preserve">” </w:t>
      </w:r>
      <w:r>
        <w:rPr>
          <w:rFonts w:ascii="Times New Roman;serif" w:hAnsi="Times New Roman;serif"/>
          <w:b w:val="false"/>
          <w:color w:val="000000"/>
          <w:sz w:val="24"/>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Effective Date</w:t>
      </w:r>
      <w:r>
        <w:rPr>
          <w:color w:val="000000"/>
        </w:rPr>
        <w:t xml:space="preserve">” </w:t>
      </w:r>
      <w:r>
        <w:rPr>
          <w:rFonts w:ascii="Times New Roman;serif" w:hAnsi="Times New Roman;serif"/>
          <w:b w:val="false"/>
          <w:color w:val="000000"/>
          <w:sz w:val="24"/>
        </w:rPr>
        <w:t xml:space="preserve">means the date on or prior to August 31, 2026 specified in the notice referred to in the last sentence of </w:t>
      </w:r>
      <w:r>
        <w:rPr>
          <w:rFonts w:ascii="Times New Roman;serif" w:hAnsi="Times New Roman;serif"/>
          <w:b w:val="false"/>
          <w:color w:val="000000"/>
          <w:sz w:val="24"/>
          <w:u w:val="single"/>
        </w:rPr>
        <w:t>Section 4.01</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Electronic Record</w:t>
      </w:r>
      <w:r>
        <w:rPr>
          <w:color w:val="000000"/>
        </w:rPr>
        <w:t xml:space="preserve">” </w:t>
      </w:r>
      <w:r>
        <w:rPr>
          <w:rFonts w:ascii="Times New Roman;serif" w:hAnsi="Times New Roman;serif"/>
          <w:b w:val="false"/>
          <w:color w:val="000000"/>
          <w:sz w:val="24"/>
        </w:rPr>
        <w:t>has the meaning assigned to that term in, and shall be interpreted in accordance with, 15 U.S.C. 7006.</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Electronic Signature</w:t>
      </w:r>
      <w:r>
        <w:rPr>
          <w:color w:val="000000"/>
        </w:rPr>
        <w:t xml:space="preserve">” </w:t>
      </w:r>
      <w:r>
        <w:rPr>
          <w:rFonts w:ascii="Times New Roman;serif" w:hAnsi="Times New Roman;serif"/>
          <w:b w:val="false"/>
          <w:color w:val="000000"/>
          <w:sz w:val="24"/>
        </w:rPr>
        <w:t>has the meaning assigned to that term in, and shall be interpreted in accordance with, 15 U.S.C. 7006.</w:t>
      </w:r>
    </w:p>
    <w:p>
      <w:pPr>
        <w:pStyle w:val="TextBody"/>
        <w:bidi w:val="0"/>
        <w:spacing w:lineRule="auto" w:line="288" w:before="20" w:after="240"/>
        <w:ind w:left="0" w:right="0" w:firstLine="720"/>
        <w:jc w:val="both"/>
        <w:rPr/>
      </w:pPr>
      <w:r>
        <w:rPr>
          <w:color w:val="000000"/>
        </w:rPr>
        <w:t>“</w:t>
      </w:r>
      <w:r>
        <w:rPr>
          <w:rFonts w:ascii="Times New Roman;serif" w:hAnsi="Times New Roman;serif"/>
          <w:b w:val="false"/>
          <w:color w:val="000000"/>
          <w:sz w:val="24"/>
          <w:u w:val="single"/>
        </w:rPr>
        <w:t>Enterprise GP</w:t>
      </w:r>
      <w:r>
        <w:rPr>
          <w:color w:val="000000"/>
        </w:rPr>
        <w:t xml:space="preserve">” </w:t>
      </w:r>
      <w:r>
        <w:rPr>
          <w:rFonts w:ascii="Times New Roman;serif" w:hAnsi="Times New Roman;serif"/>
          <w:b w:val="false"/>
          <w:color w:val="000000"/>
          <w:sz w:val="24"/>
        </w:rPr>
        <w:t>means Enterprise Products Holdings LLC, a Delaware limited liability company, the general partner of EPD.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Environmental Laws</w:t>
      </w:r>
      <w:r>
        <w:rPr>
          <w:color w:val="000000"/>
        </w:rPr>
        <w:t xml:space="preserve">” </w:t>
      </w:r>
      <w:r>
        <w:rPr>
          <w:rFonts w:ascii="Times New Roman;serif" w:hAnsi="Times New Roman;serif"/>
          <w:b w:val="false"/>
          <w:color w:val="000000"/>
          <w:sz w:val="24"/>
        </w:rPr>
        <w:t>means all laws, rules, regulations, codes, ordinances, orders, decrees, judgments, injunctions, notices or binding agreements issued, promulgated or entered into by any Governmental Authority, relating in any way to the environment, preservation or reclamation of natural resources, the management, release or threatened release of any Hazardous Material or to health and safety matters.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Environmental Liability</w:t>
      </w:r>
      <w:r>
        <w:rPr>
          <w:color w:val="000000"/>
        </w:rPr>
        <w:t xml:space="preserve">” </w:t>
      </w:r>
      <w:r>
        <w:rPr>
          <w:rFonts w:ascii="Times New Roman;serif" w:hAnsi="Times New Roman;serif"/>
          <w:b w:val="false"/>
          <w:color w:val="000000"/>
          <w:sz w:val="24"/>
        </w:rPr>
        <w:t>means any liability, contingent or otherwise (including any liability for damages, costs of environmental remediation, fines, penalties or indemnities), of the Borrower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EPCO</w:t>
      </w:r>
      <w:r>
        <w:rPr>
          <w:color w:val="000000"/>
        </w:rPr>
        <w:t xml:space="preserve">” </w:t>
      </w:r>
      <w:r>
        <w:rPr>
          <w:rFonts w:ascii="Times New Roman;serif" w:hAnsi="Times New Roman;serif"/>
          <w:b w:val="false"/>
          <w:color w:val="000000"/>
          <w:sz w:val="24"/>
        </w:rPr>
        <w:t>means Enterprise Products Company, a Texas corporation.</w:t>
      </w:r>
    </w:p>
    <w:p>
      <w:pPr>
        <w:pStyle w:val="TextBody"/>
        <w:bidi w:val="0"/>
        <w:spacing w:before="0" w:after="0"/>
        <w:jc w:val="both"/>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EPD</w:t>
      </w:r>
      <w:r>
        <w:rPr>
          <w:color w:val="000000"/>
        </w:rPr>
        <w:t xml:space="preserve">” </w:t>
      </w:r>
      <w:r>
        <w:rPr>
          <w:rFonts w:ascii="Times New Roman;serif" w:hAnsi="Times New Roman;serif"/>
          <w:b w:val="false"/>
          <w:color w:val="000000"/>
          <w:sz w:val="24"/>
        </w:rPr>
        <w:t>means Enterprise Products Partners L.P., a Delaware limited partnership, any legal successor entity thereto, or any other Person that is the “Guarantor” as defined in the March 15, 2000 Indenture or any replacement or supplemental indenture.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EPD Guaranty Agreement</w:t>
      </w:r>
      <w:r>
        <w:rPr>
          <w:color w:val="000000"/>
        </w:rPr>
        <w:t xml:space="preserve">” </w:t>
      </w:r>
      <w:r>
        <w:rPr>
          <w:rFonts w:ascii="Times New Roman;serif" w:hAnsi="Times New Roman;serif"/>
          <w:b w:val="false"/>
          <w:color w:val="000000"/>
          <w:sz w:val="24"/>
        </w:rPr>
        <w:t>means an agreement in form and substance satisfactory to the Administrative Agent by EPD guaranteeing, unconditionally, payment of any principal of or interest on the Loans or any other amount payable under this Agreement, when and as the same shall become due and payable.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Equity Interest</w:t>
      </w:r>
      <w:r>
        <w:rPr>
          <w:color w:val="000000"/>
        </w:rPr>
        <w:t xml:space="preserve">” </w:t>
      </w:r>
      <w:r>
        <w:rPr>
          <w:rFonts w:ascii="Times New Roman;serif" w:hAnsi="Times New Roman;serif"/>
          <w:b w:val="false"/>
          <w:color w:val="000000"/>
          <w:sz w:val="24"/>
        </w:rPr>
        <w:t>means shares of the capital stock, partnership interests, membership interests in a limited liability company, beneficial interests in a trust or other equity interests in any Person, or any warrants, options or other rights to acquire such interests.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ERISA</w:t>
      </w:r>
      <w:r>
        <w:rPr>
          <w:color w:val="000000"/>
        </w:rPr>
        <w:t xml:space="preserve">” </w:t>
      </w:r>
      <w:r>
        <w:rPr>
          <w:rFonts w:ascii="Times New Roman;serif" w:hAnsi="Times New Roman;serif"/>
          <w:b w:val="false"/>
          <w:color w:val="000000"/>
          <w:sz w:val="24"/>
        </w:rPr>
        <w:t>means the Employee Retirement Income Security Act of 1974, as amended from time to time and the rules and regulations promulgated thereunder.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ERISA Affiliate</w:t>
      </w:r>
      <w:r>
        <w:rPr>
          <w:color w:val="000000"/>
        </w:rPr>
        <w:t xml:space="preserve">” </w:t>
      </w:r>
      <w:r>
        <w:rPr>
          <w:rFonts w:ascii="Times New Roman;serif" w:hAnsi="Times New Roman;serif"/>
          <w:b w:val="false"/>
          <w:color w:val="000000"/>
          <w:sz w:val="24"/>
        </w:rPr>
        <w:t>means any trade or business (whether or not incorporated) that, together with the Borrower is treated as a single employer under Section 414(b) or (c) of the Code or, solely for purposes of Section 302 of ERISA and Section 412 of the Code, is treated as a single employer under Section 414 of the Code.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ERISA Event</w:t>
      </w:r>
      <w:r>
        <w:rPr>
          <w:color w:val="000000"/>
        </w:rPr>
        <w:t xml:space="preserve">” </w:t>
      </w:r>
      <w:r>
        <w:rPr>
          <w:rFonts w:ascii="Times New Roman;serif" w:hAnsi="Times New Roman;serif"/>
          <w:b w:val="false"/>
          <w:color w:val="000000"/>
          <w:sz w:val="24"/>
        </w:rPr>
        <w:t>means (a) any “reportable event”, as defined in Section 4043 of ERISA or the regulations issued thereunder with respect to a Plan (other than an event for which the 30-day notice period is waived); (b) the existence with respect to any Plan of an “accumulated funding deficiency” as defined in Section 412 of the Code or Section 302 of ERISA, whether or not waived; (c) the filing pursuant to Section 412(d) of the Code or Section 303(d) of ERISA of 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of its ERISA Affiliates of any liability with respect to the withdrawal or partial withdrawal from any Plan or Multiemployer Plan; or (g) the receipt by the Borrower or any ERISA Affiliate of any notice, or the receipt by any Multiemployer Plan from the Borrower or any ERISA Affiliate of any notice, concerning the imposition of Withdrawal Liability or a determination that a Multiemployer Plan is, or is expected to be, insolvent or in reorganization, within the meaning of Title IV of ERISA.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Erroneous Payment</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8.02(a)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Erroneous Payment Deficiency Assignment</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8.02(d)(i)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Erroneous Payment Impacted Class</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8.02(d)(i)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Erroneous Payment Return Deficiency</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8.02(d)(i)</w:t>
      </w:r>
      <w:r>
        <w:rPr>
          <w:rFonts w:ascii="Times New Roman;serif" w:hAnsi="Times New Roman;serif"/>
          <w:b w:val="false"/>
          <w:color w:val="000000"/>
          <w:sz w:val="24"/>
        </w:rPr>
        <w:t>.</w:t>
      </w:r>
    </w:p>
    <w:p>
      <w:pPr>
        <w:pStyle w:val="TextBody"/>
        <w:bidi w:val="0"/>
        <w:spacing w:before="0" w:after="0"/>
        <w:jc w:val="both"/>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Erroneous Payment Subrogation Rights</w:t>
      </w:r>
      <w:r>
        <w:rPr>
          <w:color w:val="000000"/>
        </w:rPr>
        <w:t xml:space="preserve">” </w:t>
      </w:r>
      <w:r>
        <w:rPr>
          <w:rFonts w:ascii="Times New Roman;serif" w:hAnsi="Times New Roman;serif"/>
          <w:b w:val="false"/>
          <w:color w:val="000000"/>
          <w:sz w:val="24"/>
        </w:rPr>
        <w:t xml:space="preserve">has the meaning assigned to it in </w:t>
      </w:r>
      <w:r>
        <w:rPr>
          <w:rFonts w:ascii="Times New Roman;serif" w:hAnsi="Times New Roman;serif"/>
          <w:b w:val="false"/>
          <w:color w:val="000000"/>
          <w:sz w:val="24"/>
          <w:u w:val="single"/>
        </w:rPr>
        <w:t>Section 8.02(e)</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EU Bail-In Legislation Schedule</w:t>
      </w:r>
      <w:r>
        <w:rPr>
          <w:color w:val="000000"/>
        </w:rPr>
        <w:t xml:space="preserve">” </w:t>
      </w:r>
      <w:r>
        <w:rPr>
          <w:rFonts w:ascii="Times New Roman;serif" w:hAnsi="Times New Roman;serif"/>
          <w:b w:val="false"/>
          <w:color w:val="000000"/>
          <w:sz w:val="24"/>
        </w:rPr>
        <w:t>means the EU Bail-In Legislation Schedule published by the Loan Market Association (or any successor person), as in effect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Event of Default</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Article VII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Excluded Taxes</w:t>
      </w:r>
      <w:r>
        <w:rPr>
          <w:color w:val="000000"/>
        </w:rPr>
        <w:t xml:space="preserve">” </w:t>
      </w:r>
      <w:r>
        <w:rPr>
          <w:rFonts w:ascii="Times New Roman;serif" w:hAnsi="Times New Roman;serif"/>
          <w:b w:val="false"/>
          <w:color w:val="000000"/>
          <w:sz w:val="24"/>
        </w:rPr>
        <w:t xml:space="preserve">means, with respect to the Administrative Agent, any Lender or any other recipient of any payment to be made by or on account of any obligation of the Borrower hereunder, (a) income or franchise taxes imposed on (or measured by) its net income by the United States of America, by any state thereof or the District of Columbia or by the jurisdiction under the laws of which such recipient is organized or in which its principal office is located or, in the case of any Lender, in which its applicable lending office is located or where it is resident or carrying on business, (b) any branch profits taxes imposed by the United States of America, any state thereof or the District of Columbia or any similar tax imposed by any other jurisdiction in which the Administrative Agent, such Lender or such other recipient is located, (c) in the case of a Foreign Lender (other than an assignee pursuant to a request by the Borrower under </w:t>
      </w:r>
      <w:r>
        <w:rPr>
          <w:rFonts w:ascii="Times New Roman;serif" w:hAnsi="Times New Roman;serif"/>
          <w:b w:val="false"/>
          <w:color w:val="000000"/>
          <w:sz w:val="24"/>
          <w:u w:val="single"/>
        </w:rPr>
        <w:t>Section 2.19(b)</w:t>
      </w:r>
      <w:r>
        <w:rPr>
          <w:rFonts w:ascii="Times New Roman;serif" w:hAnsi="Times New Roman;serif"/>
          <w:b w:val="false"/>
          <w:color w:val="000000"/>
          <w:sz w:val="24"/>
        </w:rPr>
        <w:t xml:space="preserve">), any United States withholding tax that is imposed on amounts payable to such Foreign Lender at the time such Foreign Lender becomes a party to this Agreement (or designates a new lending office) or is attributable to such Foreign Lender’s failure to comply with </w:t>
      </w:r>
      <w:r>
        <w:rPr>
          <w:rFonts w:ascii="Times New Roman;serif" w:hAnsi="Times New Roman;serif"/>
          <w:b w:val="false"/>
          <w:color w:val="000000"/>
          <w:sz w:val="24"/>
          <w:u w:val="single"/>
        </w:rPr>
        <w:t>Section 2.17(e)</w:t>
      </w:r>
      <w:r>
        <w:rPr>
          <w:rFonts w:ascii="Times New Roman;serif" w:hAnsi="Times New Roman;serif"/>
          <w:b w:val="false"/>
          <w:color w:val="000000"/>
          <w:sz w:val="24"/>
        </w:rPr>
        <w:t xml:space="preserve">, except to the extent that such Foreign Lender (or its assignor, if any) was entitled, at the time of designation of a new lending office (or assignment), to receive additional amounts from the Borrower with respect to such withholding tax pursuant to </w:t>
      </w:r>
      <w:r>
        <w:rPr>
          <w:rFonts w:ascii="Times New Roman;serif" w:hAnsi="Times New Roman;serif"/>
          <w:b w:val="false"/>
          <w:color w:val="000000"/>
          <w:sz w:val="24"/>
          <w:u w:val="single"/>
        </w:rPr>
        <w:t>Section 2.17(a)</w:t>
      </w:r>
      <w:r>
        <w:rPr>
          <w:rFonts w:ascii="Times New Roman;serif" w:hAnsi="Times New Roman;serif"/>
          <w:b w:val="false"/>
          <w:color w:val="000000"/>
          <w:sz w:val="24"/>
        </w:rPr>
        <w:t>, and (d) any U.S. federal withholding Taxes imposed under FATCA.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Exposure</w:t>
      </w:r>
      <w:r>
        <w:rPr>
          <w:color w:val="000000"/>
        </w:rPr>
        <w:t xml:space="preserve">” </w:t>
      </w:r>
      <w:r>
        <w:rPr>
          <w:rFonts w:ascii="Times New Roman;serif" w:hAnsi="Times New Roman;serif"/>
          <w:b w:val="false"/>
          <w:color w:val="000000"/>
          <w:sz w:val="24"/>
        </w:rPr>
        <w:t>means, with respect to any Lender at any time, the sum of the outstanding principal amount of such Lender’s Loans.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FATCA</w:t>
      </w:r>
      <w:r>
        <w:rPr>
          <w:color w:val="000000"/>
        </w:rPr>
        <w:t xml:space="preserve">” </w:t>
      </w:r>
      <w:r>
        <w:rPr>
          <w:rFonts w:ascii="Times New Roman;serif" w:hAnsi="Times New Roman;serif"/>
          <w:b w:val="false"/>
          <w:color w:val="000000"/>
          <w:sz w:val="24"/>
        </w:rPr>
        <w:t xml:space="preserve">means the Foreign Account Tax Compliance Act, sections 1471 through 1474 of the Code and any regulations or official interpretations thereof (other than for purposes of </w:t>
      </w:r>
      <w:r>
        <w:rPr>
          <w:rFonts w:ascii="Times New Roman;serif" w:hAnsi="Times New Roman;serif"/>
          <w:b w:val="false"/>
          <w:color w:val="000000"/>
          <w:sz w:val="24"/>
          <w:u w:val="single"/>
        </w:rPr>
        <w:t>Section 2.17(f)</w:t>
      </w:r>
      <w:r>
        <w:rPr>
          <w:rFonts w:ascii="Times New Roman;serif" w:hAnsi="Times New Roman;serif"/>
          <w:b w:val="false"/>
          <w:color w:val="000000"/>
          <w:sz w:val="24"/>
        </w:rPr>
        <w:t>, as such Code sections, regulations and official interpretations are in effect as of the date 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Federal Funds Effective Rate</w:t>
      </w:r>
      <w:r>
        <w:rPr>
          <w:color w:val="000000"/>
        </w:rPr>
        <w:t xml:space="preserve">” </w:t>
      </w:r>
      <w:r>
        <w:rPr>
          <w:rFonts w:ascii="Times New Roman;serif" w:hAnsi="Times New Roman;serif"/>
          <w:b w:val="false"/>
          <w:color w:val="000000"/>
          <w:sz w:val="24"/>
        </w:rPr>
        <w:t>means, for any day, the weighted average of the rates on overnight Federal funds transactions with members of the Federal Reserve System, as published on the next succeeding Business Day by the Federal Reserve Bank of New York, or, if such rate is not so published for any day that is a Business Day, the average of the quotations for such day for such transactions received by the Administrative Agent from three Federal funds brokers of recognized standing selected by it. Notwithstanding the foregoing, if the Federal Funds Effective Rate shall be less than zero, such rate shall be deemed to be zero for purposes 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Financial Officer</w:t>
      </w:r>
      <w:r>
        <w:rPr>
          <w:color w:val="000000"/>
        </w:rPr>
        <w:t xml:space="preserve">” </w:t>
      </w:r>
      <w:r>
        <w:rPr>
          <w:rFonts w:ascii="Times New Roman;serif" w:hAnsi="Times New Roman;serif"/>
          <w:b w:val="false"/>
          <w:color w:val="000000"/>
          <w:sz w:val="24"/>
        </w:rPr>
        <w:t>means the chief financial officer, principal accounting officer, treasurer or controller of the Manager on behalf of the Borrower.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Foreign Lender</w:t>
      </w:r>
      <w:r>
        <w:rPr>
          <w:color w:val="000000"/>
        </w:rPr>
        <w:t xml:space="preserve">” </w:t>
      </w:r>
      <w:r>
        <w:rPr>
          <w:rFonts w:ascii="Times New Roman;serif" w:hAnsi="Times New Roman;serif"/>
          <w:b w:val="false"/>
          <w:color w:val="000000"/>
          <w:sz w:val="24"/>
        </w:rPr>
        <w:t>means any Lender that is organized under the laws of a jurisdiction other than the United States of America, any state thereof or the District of Columbia.</w:t>
      </w:r>
    </w:p>
    <w:p>
      <w:pPr>
        <w:pStyle w:val="TextBody"/>
        <w:bidi w:val="0"/>
        <w:spacing w:before="0" w:after="0"/>
        <w:jc w:val="both"/>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GAAP</w:t>
      </w:r>
      <w:r>
        <w:rPr>
          <w:color w:val="000000"/>
        </w:rPr>
        <w:t xml:space="preserve">” </w:t>
      </w:r>
      <w:r>
        <w:rPr>
          <w:rFonts w:ascii="Times New Roman;serif" w:hAnsi="Times New Roman;serif"/>
          <w:b w:val="false"/>
          <w:color w:val="000000"/>
          <w:sz w:val="24"/>
        </w:rPr>
        <w:t>means generally accepted accounting principles in the United States of America.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Governmental Authority</w:t>
      </w:r>
      <w:r>
        <w:rPr>
          <w:color w:val="000000"/>
        </w:rPr>
        <w:t xml:space="preserve">” </w:t>
      </w:r>
      <w:r>
        <w:rPr>
          <w:rFonts w:ascii="Times New Roman;serif" w:hAnsi="Times New Roman;serif"/>
          <w:b w:val="false"/>
          <w:color w:val="000000"/>
          <w:sz w:val="24"/>
        </w:rPr>
        <w:t>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Hazardous Materials</w:t>
      </w:r>
      <w:r>
        <w:rPr>
          <w:color w:val="000000"/>
        </w:rPr>
        <w:t xml:space="preserve">” </w:t>
      </w:r>
      <w:r>
        <w:rPr>
          <w:rFonts w:ascii="Times New Roman;serif" w:hAnsi="Times New Roman;serif"/>
          <w:b w:val="false"/>
          <w:color w:val="000000"/>
          <w:sz w:val="24"/>
        </w:rPr>
        <w:t>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in each case regulated pursuant to any Environmental Law.</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Hedging Agreement</w:t>
      </w:r>
      <w:r>
        <w:rPr>
          <w:color w:val="000000"/>
        </w:rPr>
        <w:t xml:space="preserve">” </w:t>
      </w:r>
      <w:r>
        <w:rPr>
          <w:rFonts w:ascii="Times New Roman;serif" w:hAnsi="Times New Roman;serif"/>
          <w:b w:val="false"/>
          <w:color w:val="000000"/>
          <w:sz w:val="24"/>
        </w:rPr>
        <w:t>means a financial instrument or security which is used as a cash flow or fair value hedge to manage the risk associated with a change in interest rates, foreign currency exchange rates or commodity prices.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Hybrid Securities</w:t>
      </w:r>
      <w:r>
        <w:rPr>
          <w:color w:val="000000"/>
        </w:rPr>
        <w:t xml:space="preserve">” </w:t>
      </w:r>
      <w:r>
        <w:rPr>
          <w:rFonts w:ascii="Times New Roman;serif" w:hAnsi="Times New Roman;serif"/>
          <w:b w:val="false"/>
          <w:color w:val="000000"/>
          <w:sz w:val="24"/>
        </w:rPr>
        <w:t>means any trust preferred securities, or deferrable interest subordinated debt with a maturity of at least 20 years, which provides for the optional or mandatory deferral of interest or distributions, issued by the Borrower, or any business trusts, limited liability companies, limited partnerships or similar entities (i) substantially all of the common equity, general partner or similar interests of which are owned (either directly or indirectly through one or more wholly owned Subsidiaries) at all times by the Borrower or any of its Subsidiaries, (ii) that have been formed for the purpose of issuing hybrid securities or deferrable interest subordinated debt, and (iii) substantially all the assets of which consist of (A) subordinated debt of the Borrower or a Subsidiary of the Borrower, and (B) payments made from time to time on the subordinated debt.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Indebtedness</w:t>
      </w:r>
      <w:r>
        <w:rPr>
          <w:color w:val="000000"/>
        </w:rPr>
        <w:t xml:space="preserve">” </w:t>
      </w:r>
      <w:r>
        <w:rPr>
          <w:rFonts w:ascii="Times New Roman;serif" w:hAnsi="Times New Roman;serif"/>
          <w:b w:val="false"/>
          <w:color w:val="000000"/>
          <w:sz w:val="24"/>
        </w:rPr>
        <w:t xml:space="preserve">of any Person means, without duplication, (a) all obligations of such Person for the repayment of money borrowed which are or should be shown on a balance sheet as debt in accordance with GAAP, (b) obligations of such Person as lessee under leases which, in accordance with GAAP, are capital leases, (c) guaranties of such Person of payment or collection of any obligations described in clauses (a) and (b) of other Persons; and (d) all obligations of such Person under any synthetic lease, tax retention operating lease, off-balance sheet loan or similar off-balance sheet financing if the obligation under such synthetic lease, tax retention operating lease, off-balance sheet loan or similar off-balance sheet financing, as the case may be, is considered indebtedness for borrowed money for tax purposes but is classified as an operating lease in accordance with GAAP;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(i) clauses (a) and (b) include, in the case of obligations of the Borrower or any Subsidiary, only such obligations as are or should be shown as debt or capital lease liabilities on a consolidated balance sheet of the Borrower in accordance with GAAP, (ii) clause (c) includes, in the case of guaranties granted by the Borrower or any Subsidiary, only such guaranties of obligations of another Person that are or should be shown as debt or capital lease liabilities on a consolidated balance sheet of such Person in accordance with GAAP, and (iii) the liability of any Person as a general partner of a partnership for Indebtedness </w:t>
      </w:r>
    </w:p>
    <w:p>
      <w:pPr>
        <w:pStyle w:val="TextBody"/>
        <w:bidi w:val="0"/>
        <w:spacing w:before="0" w:after="0"/>
        <w:jc w:val="both"/>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of such partnership, if such partnership is not a Subsidiary of such Person, shall not constitute Indebtedness.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Indemnified Taxes</w:t>
      </w:r>
      <w:r>
        <w:rPr>
          <w:color w:val="000000"/>
        </w:rPr>
        <w:t xml:space="preserve">” </w:t>
      </w:r>
      <w:r>
        <w:rPr>
          <w:rFonts w:ascii="Times New Roman;serif" w:hAnsi="Times New Roman;serif"/>
          <w:b w:val="false"/>
          <w:color w:val="000000"/>
          <w:sz w:val="24"/>
        </w:rPr>
        <w:t>means Taxes other than Excluded Taxes.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Index Debt</w:t>
      </w:r>
      <w:r>
        <w:rPr>
          <w:color w:val="000000"/>
        </w:rPr>
        <w:t xml:space="preserve">” </w:t>
      </w:r>
      <w:r>
        <w:rPr>
          <w:rFonts w:ascii="Times New Roman;serif" w:hAnsi="Times New Roman;serif"/>
          <w:b w:val="false"/>
          <w:color w:val="000000"/>
          <w:sz w:val="24"/>
        </w:rPr>
        <w:t>means senior, unsecured, non-credit enhanced (except for any guaranty by EPD) Indebtedness of the Borrower.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Information Memorandum</w:t>
      </w:r>
      <w:r>
        <w:rPr>
          <w:color w:val="000000"/>
        </w:rPr>
        <w:t xml:space="preserve">” </w:t>
      </w:r>
      <w:r>
        <w:rPr>
          <w:rFonts w:ascii="Times New Roman;serif" w:hAnsi="Times New Roman;serif"/>
          <w:b w:val="false"/>
          <w:color w:val="000000"/>
          <w:sz w:val="24"/>
        </w:rPr>
        <w:t>means the Confidential Information Memorandum dated June 22, 2026 relating to the Borrower and the Transactions.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Interest Election Request</w:t>
      </w:r>
      <w:r>
        <w:rPr>
          <w:color w:val="000000"/>
        </w:rPr>
        <w:t xml:space="preserve">” </w:t>
      </w:r>
      <w:r>
        <w:rPr>
          <w:rFonts w:ascii="Times New Roman;serif" w:hAnsi="Times New Roman;serif"/>
          <w:b w:val="false"/>
          <w:color w:val="000000"/>
          <w:sz w:val="24"/>
        </w:rPr>
        <w:t xml:space="preserve">means a request by the Borrower to convert or continue a Borrowing in accordance with </w:t>
      </w:r>
      <w:r>
        <w:rPr>
          <w:rFonts w:ascii="Times New Roman;serif" w:hAnsi="Times New Roman;serif"/>
          <w:b w:val="false"/>
          <w:color w:val="000000"/>
          <w:sz w:val="24"/>
          <w:u w:val="single"/>
        </w:rPr>
        <w:t>Section 2.08</w:t>
      </w:r>
      <w:r>
        <w:rPr>
          <w:rFonts w:ascii="Times New Roman;serif" w:hAnsi="Times New Roman;serif"/>
          <w:b w:val="false"/>
          <w:color w:val="000000"/>
          <w:sz w:val="24"/>
        </w:rPr>
        <w:t xml:space="preserve">, and being in the form of attached </w:t>
      </w:r>
      <w:r>
        <w:rPr>
          <w:rFonts w:ascii="Times New Roman;serif" w:hAnsi="Times New Roman;serif"/>
          <w:b w:val="false"/>
          <w:color w:val="000000"/>
          <w:sz w:val="24"/>
          <w:u w:val="single"/>
        </w:rPr>
        <w:t>Exhibit C</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Interest Payment Date</w:t>
      </w:r>
      <w:r>
        <w:rPr>
          <w:color w:val="000000"/>
        </w:rPr>
        <w:t xml:space="preserve">” </w:t>
      </w:r>
      <w:r>
        <w:rPr>
          <w:rFonts w:ascii="Times New Roman;serif" w:hAnsi="Times New Roman;serif"/>
          <w:b w:val="false"/>
          <w:color w:val="000000"/>
          <w:sz w:val="24"/>
        </w:rPr>
        <w:t>means (a) with respect to any ABR Loan, the last day of each March, June, September and December, and (b) with respect to any SOFR Loan, the last day of the Interest Period applicable to the Borrowing of which such Loan is a part and, in the case of a SOFR Borrowing with an Interest Period of more than three (3) months’ duration, each day that occurs an integral multiple of three (3) months after the first day of such Interest Period.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Interest Period</w:t>
      </w:r>
      <w:r>
        <w:rPr>
          <w:color w:val="000000"/>
        </w:rPr>
        <w:t xml:space="preserve">” </w:t>
      </w:r>
      <w:r>
        <w:rPr>
          <w:rFonts w:ascii="Times New Roman;serif" w:hAnsi="Times New Roman;serif"/>
          <w:b w:val="false"/>
          <w:color w:val="000000"/>
          <w:sz w:val="24"/>
        </w:rPr>
        <w:t xml:space="preserve">means with respect to any SOFR Borrowing, the period commencing on the date of such Borrowing and ending on the numerically corresponding day in the calendar month that is one, three or six months thereafter, as the Borrower may elect;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that</w:t>
      </w:r>
      <w:r>
        <w:rPr>
          <w:color w:val="000000"/>
        </w:rPr>
        <w:t xml:space="preserve"> </w:t>
      </w:r>
      <w:r>
        <w:rPr>
          <w:rFonts w:ascii="Times New Roman;serif" w:hAnsi="Times New Roman;serif"/>
          <w:b w:val="false"/>
          <w:color w:val="000000"/>
          <w:sz w:val="24"/>
        </w:rPr>
        <w:t>(i) if any Interest Period would end on a day other than a Business Day, such Interest Period shall be extended to the next succeeding Business Day unless, in the case of a SOFR Borrowing only, such next succeeding Business Day would fall in the next calendar month, in which case such Interest Period shall end on the next preceding Business Day and (ii) any Interest Period pertaining to a SOFR Borrowing that commences on the last Business Day of a calendar month (or on a day for which there is no numerically corresponding day in the last calendar month of such Interest Period) shall end on the last Business Day of the last calendar month of such Interest Period. For purposes of this definition, the date of a Borrowing initially shall be the date on which such Borrowing is made and thereafter shall be the effective date of the most recent conversion or continuation of such Borrowing.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Lender Insolvency Event</w:t>
      </w:r>
      <w:r>
        <w:rPr>
          <w:color w:val="000000"/>
        </w:rPr>
        <w:t xml:space="preserve">” </w:t>
      </w:r>
      <w:r>
        <w:rPr>
          <w:rFonts w:ascii="Times New Roman;serif" w:hAnsi="Times New Roman;serif"/>
          <w:b w:val="false"/>
          <w:color w:val="000000"/>
          <w:sz w:val="24"/>
        </w:rPr>
        <w:t>means that (i) a Lender or its Parent Company is insolvent, or is generally unable to pay its debts as they become due, or admits in writing its inability to pay its debts as they become due, or makes a general assignment for the benefit of its creditors, or (ii) such Lender or its Parent Company is the subject of a bankruptcy, insolvency, reorganization, liquidation or similar proceeding, or a receiver, trustee, conservator, intervenor or sequestrator or the like has been appointed for such Lender or its Parent Company, or such Lender or its Parent Company has taken any action in furtherance of or indicating its consent to or acquiescence in any such proceeding or appointment.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Lenders</w:t>
      </w:r>
      <w:r>
        <w:rPr>
          <w:color w:val="000000"/>
        </w:rPr>
        <w:t xml:space="preserve">” </w:t>
      </w:r>
      <w:r>
        <w:rPr>
          <w:rFonts w:ascii="Times New Roman;serif" w:hAnsi="Times New Roman;serif"/>
          <w:b w:val="false"/>
          <w:color w:val="000000"/>
          <w:sz w:val="24"/>
        </w:rPr>
        <w:t>means the Persons listed on Schedule 2.01 and any other Person that shall have become a party hereto pursuant to an Assignment and Assumption, other than any such Person that ceases to be a party hereto pursuant to an Assignment and Assumption.</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Lien</w:t>
      </w:r>
      <w:r>
        <w:rPr>
          <w:color w:val="000000"/>
        </w:rPr>
        <w:t xml:space="preserve">” </w:t>
      </w:r>
      <w:r>
        <w:rPr>
          <w:rFonts w:ascii="Times New Roman;serif" w:hAnsi="Times New Roman;serif"/>
          <w:b w:val="false"/>
          <w:color w:val="000000"/>
          <w:sz w:val="24"/>
        </w:rPr>
        <w:t xml:space="preserve">means, with respect to any asset, (a) any mortgage, deed of trust, lien, pledge, hypothecation, encumbrance, charge or security interest in, on or of such asset, (b) the interest of </w:t>
      </w:r>
    </w:p>
    <w:p>
      <w:pPr>
        <w:pStyle w:val="TextBody"/>
        <w:bidi w:val="0"/>
        <w:spacing w:before="0" w:after="0"/>
        <w:jc w:val="both"/>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a vendor or a lessor under any conditional sale agreement, capital lease or title retention agreement relating to such asset and (c) in the case of securities, any purchase option, call or similar right of a third party with respect to such securities. For avoidance of doubt, operating leases are not “Liens”.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Loans</w:t>
      </w:r>
      <w:r>
        <w:rPr>
          <w:color w:val="000000"/>
        </w:rPr>
        <w:t xml:space="preserve">” </w:t>
      </w:r>
      <w:r>
        <w:rPr>
          <w:rFonts w:ascii="Times New Roman;serif" w:hAnsi="Times New Roman;serif"/>
          <w:b w:val="false"/>
          <w:color w:val="000000"/>
          <w:sz w:val="24"/>
        </w:rPr>
        <w:t xml:space="preserve">means the loans made by the Lenders to the Borrower pursuant to </w:t>
      </w:r>
      <w:r>
        <w:rPr>
          <w:rFonts w:ascii="Times New Roman;serif" w:hAnsi="Times New Roman;serif"/>
          <w:b w:val="false"/>
          <w:color w:val="000000"/>
          <w:sz w:val="24"/>
          <w:u w:val="single"/>
        </w:rPr>
        <w:t>Section 2.03</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Manager</w:t>
      </w:r>
      <w:r>
        <w:rPr>
          <w:color w:val="000000"/>
        </w:rPr>
        <w:t xml:space="preserve">” </w:t>
      </w:r>
      <w:r>
        <w:rPr>
          <w:rFonts w:ascii="Times New Roman;serif" w:hAnsi="Times New Roman;serif"/>
          <w:b w:val="false"/>
          <w:color w:val="000000"/>
          <w:sz w:val="24"/>
        </w:rPr>
        <w:t>means Enterprise Products OLPGP, Inc., a Delaware corporation.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March 15, 2000 Indenture</w:t>
      </w:r>
      <w:r>
        <w:rPr>
          <w:color w:val="000000"/>
        </w:rPr>
        <w:t xml:space="preserve">” </w:t>
      </w:r>
      <w:r>
        <w:rPr>
          <w:rFonts w:ascii="Times New Roman;serif" w:hAnsi="Times New Roman;serif"/>
          <w:b w:val="false"/>
          <w:color w:val="000000"/>
          <w:sz w:val="24"/>
        </w:rPr>
        <w:t>means that certain Indenture dated as of March 15, 2000, among the Borrower, EPD and U.S. Bank, National Association, successor-in-interest to Wachovia Bank, National Association, f/k/a First Union National Bank, as Trustee.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Material Adverse Change</w:t>
      </w:r>
      <w:r>
        <w:rPr>
          <w:color w:val="000000"/>
        </w:rPr>
        <w:t xml:space="preserve">” </w:t>
      </w:r>
      <w:r>
        <w:rPr>
          <w:rFonts w:ascii="Times New Roman;serif" w:hAnsi="Times New Roman;serif"/>
          <w:b w:val="false"/>
          <w:color w:val="000000"/>
          <w:sz w:val="24"/>
        </w:rPr>
        <w:t>means a material adverse change, from that in effect on December 31, 2025, in the financial condition or results of operations of the Borrower and its consolidated Subsidiaries taken as a whole, as indicated in the most recent quarterly or annual financial statements, except as otherwise disclosed in the Borrower’s and/or EPD’s filings with the SEC prior to the date 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Material Adverse Effect</w:t>
      </w:r>
      <w:r>
        <w:rPr>
          <w:color w:val="000000"/>
        </w:rPr>
        <w:t xml:space="preserve">” </w:t>
      </w:r>
      <w:r>
        <w:rPr>
          <w:rFonts w:ascii="Times New Roman;serif" w:hAnsi="Times New Roman;serif"/>
          <w:b w:val="false"/>
          <w:color w:val="000000"/>
          <w:sz w:val="24"/>
        </w:rPr>
        <w:t>means a material adverse effect on the financial condition or results of operations of the Borrower and its consolidated Subsidiaries taken as a whole, as indicated in the most recent quarterly or annual financial statements.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Material Indebtedness</w:t>
      </w:r>
      <w:r>
        <w:rPr>
          <w:color w:val="000000"/>
        </w:rPr>
        <w:t xml:space="preserve">” </w:t>
      </w:r>
      <w:r>
        <w:rPr>
          <w:rFonts w:ascii="Times New Roman;serif" w:hAnsi="Times New Roman;serif"/>
          <w:b w:val="false"/>
          <w:color w:val="000000"/>
          <w:sz w:val="24"/>
        </w:rPr>
        <w:t xml:space="preserve">means Indebtedness (other than the Loans), of any one or more of the Borrower and its Subsidiaries (other than Project Finance Subsidiaries) in an aggregate principal amount exceeding $100,000,000.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Material Project</w:t>
      </w:r>
      <w:r>
        <w:rPr>
          <w:color w:val="000000"/>
        </w:rPr>
        <w:t xml:space="preserve">” </w:t>
      </w:r>
      <w:r>
        <w:rPr>
          <w:rFonts w:ascii="Times New Roman;serif" w:hAnsi="Times New Roman;serif"/>
          <w:b w:val="false"/>
          <w:color w:val="000000"/>
          <w:sz w:val="24"/>
        </w:rPr>
        <w:t>means the construction or expansion of any capital project of the Borrower or any of its Subsidiaries, the aggregate capital cost of which exceeds $50,000,000.</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Material Project EBITDA Adjustments</w:t>
      </w:r>
      <w:r>
        <w:rPr>
          <w:color w:val="000000"/>
        </w:rPr>
        <w:t xml:space="preserve">” </w:t>
      </w:r>
      <w:r>
        <w:rPr>
          <w:rFonts w:ascii="Times New Roman;serif" w:hAnsi="Times New Roman;serif"/>
          <w:b w:val="false"/>
          <w:color w:val="000000"/>
          <w:sz w:val="24"/>
        </w:rPr>
        <w:t>shall mean, with respect to each Material Project: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prior to the Commercial Operation Date of a Material Project (but including the fiscal quarter in which such Commercial Operation Date occurs), a percentage (based on the then-current completion percentage of such Material Project) of an amount to be approved by the Administrative Agent as the projected Consolidated EBITDA of Borrower and its Subsidiaries attributable to such Material Project for the first 12-month period following the scheduled Commercial Operation Date of such Material Project (such amount to be determined based on customer contracts or tariff-based customers relating to such Material Project, the creditworthiness of the other parties to such contracts or such tariff-based customers, and projected revenues from such contracts, tariffs, capital costs and expenses, scheduled Commercial Operation Date, oil and gas reserve and production estimates, commodity price assumptions and other factors deemed appropriate by Administrative Agent), which may, at the Borrower’s option, be added to actual Consolidated EBITDA for the Borrower and its Subsidiaries for the fiscal quarter in which construction of such Material Project commences and for each fiscal quarter thereafter until the Commercial Operation Date of such Material Project (including the fiscal quarter in which such Commercial Operation Date occurs, but net of any actual Consolidated EBITDA of the Borrower and its Subsidiaries attributable to such Material </w:t>
      </w:r>
    </w:p>
    <w:p>
      <w:pPr>
        <w:pStyle w:val="TextBody"/>
        <w:bidi w:val="0"/>
        <w:spacing w:before="0" w:after="0"/>
        <w:jc w:val="both"/>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Project following such Commercial Operation Date);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if the actual Commercial Operation Date does not occur by the scheduled Commercial Operation Date, then the foregoing amount shall be reduced, for quarters ending after the scheduled Commercial Operation Date to (but excluding) the first full quarter after its Commercial Operation Date, by the following percentage amounts depending on the period of delay (based on the period of actual delay or then-estimated delay, whichever is longer): (i) 90 days or less, 0%, (ii) longer than 90 days, but not more than 180 days, 25%</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(iii) longer than 180 days but not more than 270 days, 50%, and (iv) longer than 270 days, 100%;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beginning with the first full fiscal quarter following the Commercial Operation Date of a Material Project and for the two immediately succeeding fiscal quarters, an amount to be approved by the Administrative Agent as the projected Consolidated EBITDA of Borrower and its Subsidiaries attributable to such Material Project (determined in the same manner as set forth in clause (A) above) for the balance of the four full fiscal quarter period following such Commercial Operation Date, which may, at the Borrower’s option, be added to actual Consolidated EBITDA for the Borrower and its Subsidiaries for such fiscal quarters.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no such additions shall be allowed with respect to any Material Project unless: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    not later than 30 days prior to the delivery of any certificate required by the terms and provisions of </w:t>
      </w:r>
      <w:r>
        <w:rPr>
          <w:rFonts w:ascii="Times New Roman;serif" w:hAnsi="Times New Roman;serif"/>
          <w:b w:val="false"/>
          <w:color w:val="000000"/>
          <w:sz w:val="24"/>
          <w:u w:val="single"/>
        </w:rPr>
        <w:t>Section 5.01(e)</w:t>
      </w:r>
      <w:r>
        <w:rPr>
          <w:color w:val="000000"/>
        </w:rPr>
        <w:t xml:space="preserve"> </w:t>
      </w:r>
      <w:r>
        <w:rPr>
          <w:rFonts w:ascii="Times New Roman;serif" w:hAnsi="Times New Roman;serif"/>
          <w:b w:val="false"/>
          <w:color w:val="000000"/>
          <w:sz w:val="24"/>
        </w:rPr>
        <w:t xml:space="preserve">to the extent Material Project EBITDA Adjustments will be made to Consolidated EBITDA in determining compliance with </w:t>
      </w:r>
      <w:r>
        <w:rPr>
          <w:rFonts w:ascii="Times New Roman;serif" w:hAnsi="Times New Roman;serif"/>
          <w:b w:val="false"/>
          <w:color w:val="000000"/>
          <w:sz w:val="24"/>
          <w:u w:val="single"/>
        </w:rPr>
        <w:t>Section 6.07</w:t>
      </w:r>
      <w:r>
        <w:rPr>
          <w:rFonts w:ascii="Times New Roman;serif" w:hAnsi="Times New Roman;serif"/>
          <w:b w:val="false"/>
          <w:color w:val="000000"/>
          <w:sz w:val="24"/>
        </w:rPr>
        <w:t>, the Borrower shall have delivered to the Administrative Agent written pro forma projections of Consolidated EBITDA of the Borrower and its Subsidiaries attributable to such Material Project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prior to the date such certificate is required to be delivered, the Administrative Agent shall have approved (such approval not to be unreasonably withheld) such projections and shall have received such other information and documentation as the Administrative Agent may reasonably request, all in form and substance satisfactory to the Administrative Agent,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the aggregate amount of all Material Project EBITDA Adjustments during any period shall be limited to 15% of the total actual Consolidated EBITDA of the Borrower and its Subsidiaries for such period (which total actual Consolidated EBITDA shall be determined without including any Material Project EBITDA Adjustments).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Material Subsidiary</w:t>
      </w:r>
      <w:r>
        <w:rPr>
          <w:color w:val="000000"/>
        </w:rPr>
        <w:t xml:space="preserve">” </w:t>
      </w:r>
      <w:r>
        <w:rPr>
          <w:rFonts w:ascii="Times New Roman;serif" w:hAnsi="Times New Roman;serif"/>
          <w:b w:val="false"/>
          <w:color w:val="000000"/>
          <w:sz w:val="24"/>
        </w:rPr>
        <w:t>means each Subsidiary of the Borrower that, as of the last day of the fiscal year of the Borrower most recently ended prior to the relevant determination of Material Subsidiaries, has a net worth determined in accordance with GAAP that is greater than 10% of the Consolidated Net Worth of the Borrower as of such day.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Maturity Date</w:t>
      </w:r>
      <w:r>
        <w:rPr>
          <w:color w:val="000000"/>
        </w:rPr>
        <w:t xml:space="preserve">” </w:t>
      </w:r>
      <w:r>
        <w:rPr>
          <w:rFonts w:ascii="Times New Roman;serif" w:hAnsi="Times New Roman;serif"/>
          <w:b w:val="false"/>
          <w:color w:val="000000"/>
          <w:sz w:val="24"/>
        </w:rPr>
        <w:t xml:space="preserve">means March 26, 2027;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if such date is not a Business Day, then the Maturity Date shall be the Business Day immediately preceding such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Moody’s</w:t>
      </w:r>
      <w:r>
        <w:rPr>
          <w:color w:val="000000"/>
        </w:rPr>
        <w:t xml:space="preserve">” </w:t>
      </w:r>
      <w:r>
        <w:rPr>
          <w:rFonts w:ascii="Times New Roman;serif" w:hAnsi="Times New Roman;serif"/>
          <w:b w:val="false"/>
          <w:color w:val="000000"/>
          <w:sz w:val="24"/>
        </w:rPr>
        <w:t>means Moody’s Investors Service, Inc.</w:t>
      </w:r>
    </w:p>
    <w:p>
      <w:pPr>
        <w:pStyle w:val="TextBody"/>
        <w:bidi w:val="0"/>
        <w:spacing w:before="0" w:after="0"/>
        <w:jc w:val="both"/>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Multiemployer Plan</w:t>
      </w:r>
      <w:r>
        <w:rPr>
          <w:color w:val="000000"/>
        </w:rPr>
        <w:t xml:space="preserve">” </w:t>
      </w:r>
      <w:r>
        <w:rPr>
          <w:rFonts w:ascii="Times New Roman;serif" w:hAnsi="Times New Roman;serif"/>
          <w:b w:val="false"/>
          <w:color w:val="000000"/>
          <w:sz w:val="24"/>
        </w:rPr>
        <w:t>means a multiemployer plan as defined in Section 4001(a)(3) of ERISA.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Multi-Year Credit Facility</w:t>
      </w:r>
      <w:r>
        <w:rPr>
          <w:color w:val="000000"/>
        </w:rPr>
        <w:t xml:space="preserve">” </w:t>
      </w:r>
      <w:r>
        <w:rPr>
          <w:rFonts w:ascii="Times New Roman;serif" w:hAnsi="Times New Roman;serif"/>
          <w:b w:val="false"/>
          <w:color w:val="000000"/>
          <w:sz w:val="24"/>
        </w:rPr>
        <w:t>means the revolving credit facility of the Borrower under that certain Revolving Credit Agreement dated as of March 31, 2023, among the Borrower, Wells Fargo Bank, National Association, as administrative agent, and the lenders party thereto, as amended by the First Amendment to Revolving Credit Agreement dated as of March 28, 2025, together with any and all other amendments and supplements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Non-Defaulting Lender</w:t>
      </w:r>
      <w:r>
        <w:rPr>
          <w:color w:val="000000"/>
        </w:rPr>
        <w:t xml:space="preserve">” </w:t>
      </w:r>
      <w:r>
        <w:rPr>
          <w:rFonts w:ascii="Times New Roman;serif" w:hAnsi="Times New Roman;serif"/>
          <w:b w:val="false"/>
          <w:color w:val="000000"/>
          <w:sz w:val="24"/>
        </w:rPr>
        <w:t>means, at any time, a Lender that is not a Defaulting Lender.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Notes</w:t>
      </w:r>
      <w:r>
        <w:rPr>
          <w:color w:val="000000"/>
        </w:rPr>
        <w:t xml:space="preserve">” </w:t>
      </w:r>
      <w:r>
        <w:rPr>
          <w:rFonts w:ascii="Times New Roman;serif" w:hAnsi="Times New Roman;serif"/>
          <w:b w:val="false"/>
          <w:color w:val="000000"/>
          <w:sz w:val="24"/>
        </w:rPr>
        <w:t xml:space="preserve">means any promissory notes issued by the Borrower pursuant to </w:t>
      </w:r>
      <w:r>
        <w:rPr>
          <w:rFonts w:ascii="Times New Roman;serif" w:hAnsi="Times New Roman;serif"/>
          <w:b w:val="false"/>
          <w:color w:val="000000"/>
          <w:sz w:val="24"/>
          <w:u w:val="single"/>
        </w:rPr>
        <w:t>Section 2.10(e)</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OFAC</w:t>
      </w:r>
      <w:r>
        <w:rPr>
          <w:color w:val="000000"/>
        </w:rPr>
        <w:t xml:space="preserve">” </w:t>
      </w:r>
      <w:r>
        <w:rPr>
          <w:rFonts w:ascii="Times New Roman;serif" w:hAnsi="Times New Roman;serif"/>
          <w:b w:val="false"/>
          <w:color w:val="000000"/>
          <w:sz w:val="24"/>
        </w:rPr>
        <w:t>means The Office of Foreign Assets Control of the U.S. Department of the Treasury.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Other Taxes</w:t>
      </w:r>
      <w:r>
        <w:rPr>
          <w:color w:val="000000"/>
        </w:rPr>
        <w:t xml:space="preserve">” </w:t>
      </w:r>
      <w:r>
        <w:rPr>
          <w:rFonts w:ascii="Times New Roman;serif" w:hAnsi="Times New Roman;serif"/>
          <w:b w:val="false"/>
          <w:color w:val="000000"/>
          <w:sz w:val="24"/>
        </w:rPr>
        <w:t>means any and all present or future stamp or documentary taxes or any other excise or property taxes, charges or similar levies arising from any payment made hereunder or from the execution, delivery or registration of, or otherwise with respect to,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Parent Company</w:t>
      </w:r>
      <w:r>
        <w:rPr>
          <w:color w:val="000000"/>
        </w:rPr>
        <w:t xml:space="preserve">” </w:t>
      </w:r>
      <w:r>
        <w:rPr>
          <w:rFonts w:ascii="Times New Roman;serif" w:hAnsi="Times New Roman;serif"/>
          <w:b w:val="false"/>
          <w:color w:val="000000"/>
          <w:sz w:val="24"/>
        </w:rPr>
        <w:t>means, with respect to a Lender (i) the bank holding company (as defined in Federal Reserve Board Regulation Y) of such Lender, if any, (ii) with respect to a Foreign Lender, any entity which is a parent of such Foreign Lender, and/or (iii) any Person owning, beneficially or of record, directly or indirectly, a majority of the Equity Interests of such Lender.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Payment Recipient</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8.02(a)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PBGC</w:t>
      </w:r>
      <w:r>
        <w:rPr>
          <w:color w:val="000000"/>
        </w:rPr>
        <w:t xml:space="preserve">” </w:t>
      </w:r>
      <w:r>
        <w:rPr>
          <w:rFonts w:ascii="Times New Roman;serif" w:hAnsi="Times New Roman;serif"/>
          <w:b w:val="false"/>
          <w:color w:val="000000"/>
          <w:sz w:val="24"/>
        </w:rPr>
        <w:t>means the Pension Benefit Guaranty Corporation referred to and defined in ERISA and any successor entity performing similar functions.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Permitted Liens</w:t>
      </w:r>
      <w:r>
        <w:rPr>
          <w:color w:val="000000"/>
        </w:rPr>
        <w:t xml:space="preserve">” </w:t>
      </w:r>
      <w:r>
        <w:rPr>
          <w:rFonts w:ascii="Times New Roman;serif" w:hAnsi="Times New Roman;serif"/>
          <w:b w:val="false"/>
          <w:color w:val="000000"/>
          <w:sz w:val="24"/>
        </w:rPr>
        <w:t>means: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liens upon rights-of-way for pipeline purposes;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any statutory or governmental lien or lien arising by operation of law, or any mechanics’, repairmen’s, materialmen’s, suppliers’, carriers’, landlords’, warehousemen’s or similar lien incurred in the ordinary course of business which is not yet due or which is being contested in good faith by appropriate proceedings and any undetermined lien which is incidental to construction, development, improvement or repair; or any right reserved to, or vested in, any municipality or public authority by the terms of any right, power, franchise, grant, license, permit or by any provision of law, to purchase or recapture or to designate a purchaser of, any property;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liens for taxes, assessments, charges and levies which are (i) for the then current year, (ii) not at the time delinquent, or (iii) delinquent but the validity or amount of which is being contested at the time by the Borrower, any Subsidiary or EPD in good faith by appropriate proceedings;</w:t>
      </w:r>
    </w:p>
    <w:p>
      <w:pPr>
        <w:pStyle w:val="TextBody"/>
        <w:bidi w:val="0"/>
        <w:spacing w:before="0" w:after="0"/>
        <w:jc w:val="both"/>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liens of, or to secure performance of, leases, other than capital leases, or any lien securing industrial development, pollution control or similar revenue bonds;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any lien upon property or assets acquired or sold by the Borrower, any Subsidiary or EPD resulting from the exercise of any rights arising out of defaults on receivables;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any lien in favor of the Borrower, any Subsidiary or EPD; or any lien upon any property or assets of the Borrower, any Subsidiary or EPD permitted under the March 15, 2000 Indenture, or any replacement indenture containing similar terms and conditions with respect thereto;</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(g)    any lien in favor of the United States of America or any state thereof, or any department, agency or instrumentality or political subdivision of the United States of America or any state thereof, to secure partial, progress, advance, or other payments pursuant to any contract or statute, or any debt incurred by the Borrower, any Subsidiary or EPD for the purpose of financing all or any part of the purchase price of, or the cost of constructing, developing, repairing or improving, the property or assets subject to such lien;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(h)    any lien incurred in the ordinary course of business in connection with workmen’s compensation, unemployment insurance, temporary disability, social security, retiree health or similar laws or regulations or to secure obligations imposed by statute or governmental regulations;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liens in favor of any Person to secure obligations under provisions of any letters of credit, bank guarantees, bonds or surety obligations required or requested by any Governmental Authority in connection with any contract or statute; or any lien upon or deposits of any assets to secure performance of bids, trade contracts, leases or statutory obligations;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(j)    any lien upon any property or assets created at the time of acquisition of such property or assets by the Borrower, any Subsidiary or EPD or within one year after such time to secure all or a portion of the purchase price for such property or assets or debt incurred to finance such purchase price, whether such debt was incurred prior to, at the time of or within one year after the date of such acquisition; or any lien upon any property or assets to secure all or part of the cost of construction, development, repair or improvements thereon or to secure debt incurred prior to, at the time of, or within one year after completion of such construction, development, repair or improvements or the commencement of full operations thereof (whichever is later), to provide funds for any such purpose;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(k)    any lien upon any property or assets (i) existing thereon at the time of the acquisition thereof by the Borrower, any Subsidiary or EPD, (ii) existing thereon at the time such Person becomes a Subsidiary by acquisition, merger or otherwise, or (iii) acquired by any Person after the time such Person becomes a Subsidiary by acquisition, merger or otherwise, to the extent such lien is created by security documents existing at the time such Person becomes a Subsidiary and not added to such security documents in contemplation thereof;</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(l)    liens imposed by law or order as a result of any proceeding before any court or regulatory body that is being contested in good faith, and liens which secure a judgment or other court-ordered award or settlement as to which the Borrower, the applicable Subsidiary or EPD has not exhausted its appellate rights;</w:t>
      </w:r>
    </w:p>
    <w:p>
      <w:pPr>
        <w:pStyle w:val="TextBody"/>
        <w:bidi w:val="0"/>
        <w:spacing w:before="0" w:after="0"/>
        <w:jc w:val="both"/>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(m)    any extension, renewal, refinancing, refunding or replacement (or successive extensions, renewals, refinancing, refunding or replacements) of liens, in whole or in part, referred to in clauses (a) through (l) above; provided, however, that any such extension, renewal, refinancing, refunding or replacement lien shall be limited to the property or assets covered by the lien extended, renewed, refinanced, refunded or replaced and that the obligations secured by any such extension, renewal, refinancing, refunding or replacement lien shall be in an amount not greater than the amount of the obligations secured by the lien extended, renewed, refinanced, refunded or replaced and any expenses of the Borrower, its Subsidiaries and EPD (including any premium) incurred in connection with such extension, renewal, refinancing, refunding or replacement; 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    any lien resulting from the deposit of moneys or evidence of indebtedness in trust for the purpose of defeasing debt of the Borrower, any Subsidiary or EPD.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Permitted Sale/Leaseback Transactions</w:t>
      </w:r>
      <w:r>
        <w:rPr>
          <w:color w:val="000000"/>
        </w:rPr>
        <w:t xml:space="preserve">” </w:t>
      </w:r>
      <w:r>
        <w:rPr>
          <w:rFonts w:ascii="Times New Roman;serif" w:hAnsi="Times New Roman;serif"/>
          <w:b w:val="false"/>
          <w:color w:val="000000"/>
          <w:sz w:val="24"/>
        </w:rPr>
        <w:t>means any Sale/Leaseback Transaction: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which occurs within one year from the date of completion of the acquisition of the Principal Property subject thereto or the date of the completion of construction, development or substantial repair or improvement, or commencement of full operations on such Principal Property, whichever is later; 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involves a lease for a period, including renewals, of not more than three years; or</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(c)    the Borrower, any Subsidiary or EPD would be entitled to incur Indebtedness, in a principal amount equal to the Attributable Indebtedness with respect to such Sale/Leaseback Transaction, secured by a Lien on the property subject to such Sale/Leaseback Transaction pursuant to </w:t>
      </w:r>
      <w:r>
        <w:rPr>
          <w:rFonts w:ascii="Times New Roman;serif" w:hAnsi="Times New Roman;serif"/>
          <w:b w:val="false"/>
          <w:color w:val="000000"/>
          <w:sz w:val="24"/>
          <w:u w:val="single"/>
        </w:rPr>
        <w:t>Section 6.02</w:t>
      </w:r>
      <w:r>
        <w:rPr>
          <w:color w:val="000000"/>
        </w:rPr>
        <w:t xml:space="preserve"> </w:t>
      </w:r>
      <w:r>
        <w:rPr>
          <w:rFonts w:ascii="Times New Roman;serif" w:hAnsi="Times New Roman;serif"/>
          <w:b w:val="false"/>
          <w:color w:val="000000"/>
          <w:sz w:val="24"/>
        </w:rPr>
        <w:t>without equally and ratably securing the Indebtedness under this Agreement pursuant to such Section; 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the Borrower, any Subsidiary or EPD, within a one-year period after such Sale/Leaseback Transaction, applies or causes to be applied an amount not less than the Attributable Indebtedness from such Sale/Leaseback Transaction to (a) the prepayment, repayment, redemption, reduction or retirement of any Indebtedness of the Borrower, any Subsidiary or EPD that is not subordinated to the Indebtedness under this Agreement, or (b) the expenditure or expenditures for Principal Property used or to be used in the ordinary course of business of the Borrower, its Subsidiaries or EPD.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provisions of this definition, any Sale/Leaseback Transaction not covered by clauses (a) through (d), inclusive, of this definition, shall nonetheless be a Permitted Sale/Leaseback Transaction if the Attributable Indebtedness from such Sale/Leaseback Transaction, together with the aggregate principal amount of outstanding Indebtedness (other than Indebtedness under this Agreement and Indebtedness under the March 15, 2000 Indenture) secured by Liens other than Permitted Liens upon Principal Properties, does not exceed 10% of Consolidated Net Tangible Assets.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means any natural person, corporation, limited liability company, trust, joint venture, association, company, partnership, Governmental Authority or other entity.</w:t>
      </w:r>
    </w:p>
    <w:p>
      <w:pPr>
        <w:pStyle w:val="TextBody"/>
        <w:bidi w:val="0"/>
        <w:spacing w:before="0" w:after="0"/>
        <w:jc w:val="both"/>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Plan</w:t>
      </w:r>
      <w:r>
        <w:rPr>
          <w:color w:val="000000"/>
        </w:rPr>
        <w:t xml:space="preserve">” </w:t>
      </w:r>
      <w:r>
        <w:rPr>
          <w:rFonts w:ascii="Times New Roman;serif" w:hAnsi="Times New Roman;serif"/>
          <w:b w:val="false"/>
          <w:color w:val="000000"/>
          <w:sz w:val="24"/>
        </w:rPr>
        <w:t>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Platform</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9.01(e)</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Prime Rate</w:t>
      </w:r>
      <w:r>
        <w:rPr>
          <w:color w:val="000000"/>
        </w:rPr>
        <w:t xml:space="preserve">” </w:t>
      </w:r>
      <w:r>
        <w:rPr>
          <w:rFonts w:ascii="Times New Roman;serif" w:hAnsi="Times New Roman;serif"/>
          <w:b w:val="false"/>
          <w:color w:val="000000"/>
          <w:sz w:val="24"/>
        </w:rPr>
        <w:t xml:space="preserve">means the rate of interest per annum publicly announced from time to time by Citibank, N.A. as its prime rate in effect. Each change in the Prime Rate shall be effective from and including the date such change is publicly announced as being effective.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Principal Property</w:t>
      </w:r>
      <w:r>
        <w:rPr>
          <w:color w:val="000000"/>
        </w:rPr>
        <w:t xml:space="preserve">” </w:t>
      </w:r>
      <w:r>
        <w:rPr>
          <w:rFonts w:ascii="Times New Roman;serif" w:hAnsi="Times New Roman;serif"/>
          <w:b w:val="false"/>
          <w:color w:val="000000"/>
          <w:sz w:val="24"/>
        </w:rPr>
        <w:t>means whether owned or leased on the date hereof or thereafter acquired: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any pipeline assets of the Borrower, any Subsidiary or EPD, including any related facilities employed in the transportation, distribution, storage or marketing of refined petroleum products, natural gas liquids, and petrochemicals, that are located in the United States of America or any territory or political subdivision thereof;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any processing or manufacturing plant or terminal owned or leased by the Borrower, any Subsidiary or EPD that is located in the United States or any territory or political subdivision thereof;</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except, in the case of either of the foregoing clauses (a) or (b):</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any such assets consisting of inventories, furniture, office fixtures and equipment (including data processing equipment), vehicles and equipment used on, or useful with, vehicles;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any such assets, plant or terminal which, in the opinion of the Board of Directors (as defined in the March 15, 2000 Indenture), is not material in relation to the activities of the Borrower or of EPD and its subsidiaries taken as a whole.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Program</w:t>
      </w:r>
      <w:r>
        <w:rPr>
          <w:color w:val="000000"/>
        </w:rPr>
        <w:t xml:space="preserve">” </w:t>
      </w:r>
      <w:r>
        <w:rPr>
          <w:rFonts w:ascii="Times New Roman;serif" w:hAnsi="Times New Roman;serif"/>
          <w:b w:val="false"/>
          <w:color w:val="000000"/>
          <w:sz w:val="24"/>
        </w:rPr>
        <w:t>means the buy-back program initiated by EPD whereby EPD or the Borrower may after January 31, 2019 buy back up to the number of publicly held Common Units the aggregate purchase price of which is $2,000,000,000.</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Project Finance Subsidiaries</w:t>
      </w:r>
      <w:r>
        <w:rPr>
          <w:color w:val="000000"/>
        </w:rPr>
        <w:t xml:space="preserve">” </w:t>
      </w:r>
      <w:r>
        <w:rPr>
          <w:rFonts w:ascii="Times New Roman;serif" w:hAnsi="Times New Roman;serif"/>
          <w:b w:val="false"/>
          <w:color w:val="000000"/>
          <w:sz w:val="24"/>
        </w:rPr>
        <w:t>means a Subsidiary that is (A) created principally to (i) construct or acquire any asset or project that will be or is financed solely with Project Financing for such asset or project, related equity investments and any loans to, or capital contributions in, such Subsidiary that are not prohibited hereby, (ii) own an Equity Interest in a Project Finance Subsidiary, and/or (iii) own an interest in any such asset or project and (B) designated as a Project Finance Subsidiary by the Borrower in writing to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Project Financing</w:t>
      </w:r>
      <w:r>
        <w:rPr>
          <w:color w:val="000000"/>
        </w:rPr>
        <w:t xml:space="preserve">” </w:t>
      </w:r>
      <w:r>
        <w:rPr>
          <w:rFonts w:ascii="Times New Roman;serif" w:hAnsi="Times New Roman;serif"/>
          <w:b w:val="false"/>
          <w:color w:val="000000"/>
          <w:sz w:val="24"/>
        </w:rPr>
        <w:t xml:space="preserve">means Indebtedness incurred by a Project Finance Subsidiary to finance the acquisition or construction of any asset or project which Indebtedness does not permit or provide for recourse against the Borrower or any of its Subsidiaries (other than any </w:t>
      </w:r>
    </w:p>
    <w:p>
      <w:pPr>
        <w:pStyle w:val="TextBody"/>
        <w:bidi w:val="0"/>
        <w:spacing w:before="0" w:after="0"/>
        <w:jc w:val="both"/>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Project Finance Subsidiary) and other than recourse that consists of rights to recover dividends paid by such Project Finance Subsidiary.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PTE</w:t>
      </w:r>
      <w:r>
        <w:rPr>
          <w:color w:val="000000"/>
        </w:rPr>
        <w:t xml:space="preserve">” </w:t>
      </w:r>
      <w:r>
        <w:rPr>
          <w:rFonts w:ascii="Times New Roman;serif" w:hAnsi="Times New Roman;serif"/>
          <w:b w:val="false"/>
          <w:color w:val="000000"/>
          <w:sz w:val="24"/>
        </w:rPr>
        <w:t>means a prohibited transaction class exemption issued by the U.S. Department of Labor, as any such exemption may be amended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Reference Time</w:t>
      </w:r>
      <w:r>
        <w:rPr>
          <w:color w:val="000000"/>
        </w:rPr>
        <w:t xml:space="preserve">” </w:t>
      </w:r>
      <w:r>
        <w:rPr>
          <w:rFonts w:ascii="Times New Roman;serif" w:hAnsi="Times New Roman;serif"/>
          <w:b w:val="false"/>
          <w:color w:val="000000"/>
          <w:sz w:val="24"/>
        </w:rPr>
        <w:t>with respect to any setting of the then-current Benchmark means (1) if such Benchmark is Term SOFR, the applicable time set forth in the definition of Term SOFR, and (2) if such Benchmark is not Term SOFR, the time determined by the Administrative Agent in its reasonable discretion.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Register</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9.04(c)</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Related Parties</w:t>
      </w:r>
      <w:r>
        <w:rPr>
          <w:color w:val="000000"/>
        </w:rPr>
        <w:t xml:space="preserve">” </w:t>
      </w:r>
      <w:r>
        <w:rPr>
          <w:rFonts w:ascii="Times New Roman;serif" w:hAnsi="Times New Roman;serif"/>
          <w:b w:val="false"/>
          <w:color w:val="000000"/>
          <w:sz w:val="24"/>
        </w:rPr>
        <w:t>means, with respect to any specified Person, such Person’s Affiliates and the respective directors, officers, employees, agents and advisors of such Person and such Person’s Affiliates.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Relevant Governmental Body</w:t>
      </w:r>
      <w:r>
        <w:rPr>
          <w:color w:val="000000"/>
        </w:rPr>
        <w:t xml:space="preserve">” </w:t>
      </w:r>
      <w:r>
        <w:rPr>
          <w:rFonts w:ascii="Times New Roman;serif" w:hAnsi="Times New Roman;serif"/>
          <w:b w:val="false"/>
          <w:color w:val="000000"/>
          <w:sz w:val="24"/>
        </w:rPr>
        <w:t>means the Board or the Federal Reserve Bank of New York, or a committee officially endorsed or convened by the Board or the Federal Reserve Bank of New York, or any successor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Required Lenders</w:t>
      </w:r>
      <w:r>
        <w:rPr>
          <w:color w:val="000000"/>
        </w:rPr>
        <w:t xml:space="preserve">” </w:t>
      </w:r>
      <w:r>
        <w:rPr>
          <w:rFonts w:ascii="Times New Roman;serif" w:hAnsi="Times New Roman;serif"/>
          <w:b w:val="false"/>
          <w:color w:val="000000"/>
          <w:sz w:val="24"/>
        </w:rPr>
        <w:t>means, at any time, Lenders having Exposures and unused Commitments representing more than 50% of the sum of the total Exposures and unused Commitments at such time.</w:t>
      </w:r>
    </w:p>
    <w:p>
      <w:pPr>
        <w:pStyle w:val="TextBody"/>
        <w:bidi w:val="0"/>
        <w:spacing w:lineRule="auto" w:line="288" w:before="0" w:after="120"/>
        <w:ind w:left="0" w:right="0" w:firstLine="720"/>
        <w:jc w:val="both"/>
        <w:rPr/>
      </w:pPr>
      <w:r>
        <w:rPr>
          <w:color w:val="000000"/>
        </w:rPr>
        <w:t>“</w:t>
      </w:r>
      <w:r>
        <w:rPr>
          <w:rFonts w:ascii="Times New Roman;serif" w:hAnsi="Times New Roman;serif"/>
          <w:b w:val="false"/>
          <w:color w:val="000000"/>
          <w:sz w:val="24"/>
          <w:u w:val="single"/>
        </w:rPr>
        <w:t>Resolution Authority</w:t>
      </w:r>
      <w:r>
        <w:rPr>
          <w:color w:val="000000"/>
        </w:rPr>
        <w:t xml:space="preserve">” </w:t>
      </w:r>
      <w:r>
        <w:rPr>
          <w:rFonts w:ascii="Times New Roman;serif" w:hAnsi="Times New Roman;serif"/>
          <w:b w:val="false"/>
          <w:color w:val="000000"/>
          <w:sz w:val="24"/>
        </w:rPr>
        <w:t>means an EEA Resolution Authority or, with respect to any UK Financial Institution, a UK Resolution Authority.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Restricted Payment</w:t>
      </w:r>
      <w:r>
        <w:rPr>
          <w:color w:val="000000"/>
        </w:rPr>
        <w:t xml:space="preserve">” </w:t>
      </w:r>
      <w:r>
        <w:rPr>
          <w:rFonts w:ascii="Times New Roman;serif" w:hAnsi="Times New Roman;serif"/>
          <w:b w:val="false"/>
          <w:color w:val="000000"/>
          <w:sz w:val="24"/>
        </w:rPr>
        <w:t>means any dividend or other distribution (whether in cash, securities or other property) with respect to any class of Equity Interests of the Borrower, or any payment (whether in cash, securities or other property), including any sinking fund or similar deposit, on account of the purchase, redemption, retirement, acquisition, cancellation or termination of any Equity Interests of EPD or the Borrower or any option, warrant or other right to acquire any Equity Interests of EPD or the Borrower.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Sale/Leaseback Transaction</w:t>
      </w:r>
      <w:r>
        <w:rPr>
          <w:color w:val="000000"/>
        </w:rPr>
        <w:t xml:space="preserve">” </w:t>
      </w:r>
      <w:r>
        <w:rPr>
          <w:rFonts w:ascii="Times New Roman;serif" w:hAnsi="Times New Roman;serif"/>
          <w:b w:val="false"/>
          <w:color w:val="000000"/>
          <w:sz w:val="24"/>
        </w:rPr>
        <w:t>means any arrangement with any Person providing for the leasing, under a lease that is not a capital lease under GAAP, by the Borrower, or a Subsidiary (other than a Project Finance Subsidiary) or EPD of any Principal Property, which property has been or is to be sold or transferred by the Borrower, such Subsidiary or EPD to such Person in contemplation of such leasing.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Sanctions Laws and Regulations</w:t>
      </w:r>
      <w:r>
        <w:rPr>
          <w:color w:val="000000"/>
        </w:rPr>
        <w:t xml:space="preserve">” </w:t>
      </w:r>
      <w:r>
        <w:rPr>
          <w:rFonts w:ascii="Times New Roman;serif" w:hAnsi="Times New Roman;serif"/>
          <w:b w:val="false"/>
          <w:color w:val="000000"/>
          <w:sz w:val="24"/>
        </w:rPr>
        <w:t xml:space="preserve">means economic or financial sanctions or trade embargoes imposed, administered or enforced from time to time by (a) the U.S. government, including those administered by OFAC or the U.S. Department of State, or (b) the United Nations Security Council, the European Union or His Majesty’s Treasury of the United Kingdom.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S&amp;P</w:t>
      </w:r>
      <w:r>
        <w:rPr>
          <w:color w:val="000000"/>
        </w:rPr>
        <w:t xml:space="preserve">” </w:t>
      </w:r>
      <w:r>
        <w:rPr>
          <w:rFonts w:ascii="Times New Roman;serif" w:hAnsi="Times New Roman;serif"/>
          <w:b w:val="false"/>
          <w:color w:val="000000"/>
          <w:sz w:val="24"/>
        </w:rPr>
        <w:t>means S&amp;P Global Ratings, a division of S&amp;P Global, Inc., and any successor thereto.</w:t>
      </w:r>
    </w:p>
    <w:p>
      <w:pPr>
        <w:pStyle w:val="TextBody"/>
        <w:bidi w:val="0"/>
        <w:spacing w:before="0" w:after="0"/>
        <w:jc w:val="both"/>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SEC</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5.01(a)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SOFR</w:t>
      </w:r>
      <w:r>
        <w:rPr>
          <w:color w:val="000000"/>
        </w:rPr>
        <w:t xml:space="preserve">” </w:t>
      </w:r>
      <w:r>
        <w:rPr>
          <w:rFonts w:ascii="Times New Roman;serif" w:hAnsi="Times New Roman;serif"/>
          <w:b w:val="false"/>
          <w:color w:val="000000"/>
          <w:sz w:val="24"/>
        </w:rPr>
        <w:t>means, with respect to any Business Day, a rate per annum equal to the secured overnight financing rate for such Business Day published by the SOFR Administrator on the SOFR Administrator’s Website on the immediately succeeding Business Day.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SOFR Administrator</w:t>
      </w:r>
      <w:r>
        <w:rPr>
          <w:color w:val="000000"/>
        </w:rPr>
        <w:t xml:space="preserve">” </w:t>
      </w:r>
      <w:r>
        <w:rPr>
          <w:rFonts w:ascii="Times New Roman;serif" w:hAnsi="Times New Roman;serif"/>
          <w:b w:val="false"/>
          <w:color w:val="000000"/>
          <w:sz w:val="24"/>
        </w:rPr>
        <w:t>means the Federal Reserve Bank of New York (or a successor administrator of the secured overnight financing rate).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SOFR Administrator’s Website</w:t>
      </w:r>
      <w:r>
        <w:rPr>
          <w:color w:val="000000"/>
        </w:rPr>
        <w:t xml:space="preserve">” </w:t>
      </w:r>
      <w:r>
        <w:rPr>
          <w:rFonts w:ascii="Times New Roman;serif" w:hAnsi="Times New Roman;serif"/>
          <w:b w:val="false"/>
          <w:color w:val="000000"/>
          <w:sz w:val="24"/>
        </w:rPr>
        <w:t xml:space="preserve">means the website of the Federal Reserve Bank of New York, as of the Effective Date at </w:t>
      </w:r>
      <w:r>
        <w:rPr>
          <w:rFonts w:ascii="Times New Roman;serif" w:hAnsi="Times New Roman;serif"/>
          <w:b w:val="false"/>
          <w:color w:val="000000"/>
          <w:sz w:val="24"/>
          <w:u w:val="single"/>
        </w:rPr>
        <w:t>http://www.newyorkfed.org</w:t>
      </w:r>
      <w:r>
        <w:rPr>
          <w:rFonts w:ascii="Times New Roman;serif" w:hAnsi="Times New Roman;serif"/>
          <w:b w:val="false"/>
          <w:color w:val="000000"/>
          <w:sz w:val="24"/>
        </w:rPr>
        <w:t>, or any successor source for the secured overnight financing rate identified as such by the SOFR Administrator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Subsidiary</w:t>
      </w:r>
      <w:r>
        <w:rPr>
          <w:color w:val="000000"/>
        </w:rPr>
        <w:t xml:space="preserve">” </w:t>
      </w:r>
      <w:r>
        <w:rPr>
          <w:rFonts w:ascii="Times New Roman;serif" w:hAnsi="Times New Roman;serif"/>
          <w:b w:val="false"/>
          <w:color w:val="000000"/>
          <w:sz w:val="24"/>
        </w:rPr>
        <w:t>means, with respect to any Person (the “</w:t>
      </w:r>
      <w:r>
        <w:rPr>
          <w:rFonts w:ascii="Times New Roman;serif" w:hAnsi="Times New Roman;serif"/>
          <w:b w:val="false"/>
          <w:color w:val="000000"/>
          <w:sz w:val="24"/>
          <w:u w:val="single"/>
        </w:rPr>
        <w:t>parent</w:t>
      </w:r>
      <w:r>
        <w:rPr>
          <w:color w:val="000000"/>
        </w:rPr>
        <w:t>”</w:t>
      </w:r>
      <w:r>
        <w:rPr>
          <w:rFonts w:ascii="Times New Roman;serif" w:hAnsi="Times New Roman;serif"/>
          <w:b w:val="false"/>
          <w:color w:val="000000"/>
          <w:sz w:val="24"/>
        </w:rPr>
        <w:t>) at any date, any corporation, limited liability company, partnership, association or other entity of which securities or other ownership interests representing more than 50% of the equity or more than 50% of the ordinary voting power or, in the case of a partnership, more than 50% of the general partnership interests, are, as of such date, owned, controlled or held by the parent and one or more subsidiaries of the parent.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Taxes</w:t>
      </w:r>
      <w:r>
        <w:rPr>
          <w:color w:val="000000"/>
        </w:rPr>
        <w:t xml:space="preserve">” </w:t>
      </w:r>
      <w:r>
        <w:rPr>
          <w:rFonts w:ascii="Times New Roman;serif" w:hAnsi="Times New Roman;serif"/>
          <w:b w:val="false"/>
          <w:color w:val="000000"/>
          <w:sz w:val="24"/>
        </w:rPr>
        <w:t>means any and all present or future taxes, levies, imposts, duties, deductions, charges or withholdings imposed by any Governmental Authority.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Term SOFR</w:t>
      </w:r>
      <w:r>
        <w:rPr>
          <w:color w:val="000000"/>
        </w:rPr>
        <w:t xml:space="preserve">” </w:t>
      </w:r>
      <w:r>
        <w:rPr>
          <w:rFonts w:ascii="Times New Roman;serif" w:hAnsi="Times New Roman;serif"/>
          <w:b w:val="false"/>
          <w:color w:val="000000"/>
          <w:sz w:val="24"/>
        </w:rPr>
        <w:t xml:space="preserve">means, </w:t>
      </w:r>
    </w:p>
    <w:p>
      <w:pPr>
        <w:pStyle w:val="TextBody"/>
        <w:bidi w:val="0"/>
        <w:spacing w:lineRule="auto" w:line="288" w:before="0" w:after="240"/>
        <w:ind w:left="0" w:right="0" w:firstLine="720"/>
        <w:jc w:val="both"/>
        <w:rPr/>
      </w:pPr>
      <w:r>
        <w:rPr>
          <w:rFonts w:ascii="Times New Roman;serif" w:hAnsi="Times New Roman;serif"/>
          <w:b w:val="false"/>
          <w:color w:val="000000"/>
          <w:sz w:val="24"/>
        </w:rPr>
        <w:t>(a)    for any calculation with respect to a SOFR Loan, the Term SOFR Reference Rate for a tenor comparable to the applicable Interest Period on the day (such day, the “</w:t>
      </w:r>
      <w:r>
        <w:rPr>
          <w:rFonts w:ascii="Times New Roman;serif" w:hAnsi="Times New Roman;serif"/>
          <w:b w:val="false"/>
          <w:color w:val="000000"/>
          <w:sz w:val="24"/>
          <w:u w:val="single"/>
        </w:rPr>
        <w:t>Periodic Term SOFR Determination Day</w:t>
      </w:r>
      <w:r>
        <w:rPr>
          <w:color w:val="000000"/>
        </w:rPr>
        <w:t>”</w:t>
      </w:r>
      <w:r>
        <w:rPr>
          <w:rFonts w:ascii="Times New Roman;serif" w:hAnsi="Times New Roman;serif"/>
          <w:b w:val="false"/>
          <w:color w:val="000000"/>
          <w:sz w:val="24"/>
        </w:rPr>
        <w:t>) that is two (2) U.S. Government Securities Business Days prior to the first day of such Interest Period, as such rate is published by the Term SOFR Administrator; provided, however, that if as of 5:00 p.m. (Eastern time) on any Periodic Term SOFR Determination Day the Term SOFR Reference Rate for the applicable tenor has not been published by the Term SOFR Administrator and a Benchmark Replacement with respect to Term SOFR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pStyle w:val="TextBody"/>
        <w:bidi w:val="0"/>
        <w:spacing w:lineRule="auto" w:line="288" w:before="0" w:after="240"/>
        <w:ind w:left="0" w:right="0" w:firstLine="720"/>
        <w:jc w:val="both"/>
        <w:rPr/>
      </w:pPr>
      <w:r>
        <w:rPr>
          <w:rFonts w:ascii="Times New Roman;serif" w:hAnsi="Times New Roman;serif"/>
          <w:b w:val="false"/>
          <w:color w:val="000000"/>
          <w:sz w:val="24"/>
        </w:rPr>
        <w:t>(b)    for any calculation with respect to an ABR Loan on any day, the Term SOFR Reference Rate for a tenor of one month on the day (such day, the “</w:t>
      </w:r>
      <w:r>
        <w:rPr>
          <w:rFonts w:ascii="Times New Roman;serif" w:hAnsi="Times New Roman;serif"/>
          <w:b w:val="false"/>
          <w:color w:val="000000"/>
          <w:sz w:val="24"/>
          <w:u w:val="single"/>
        </w:rPr>
        <w:t>Base Rate Term SOFR Determination Day</w:t>
      </w:r>
      <w:r>
        <w:rPr>
          <w:color w:val="000000"/>
        </w:rPr>
        <w:t>”</w:t>
      </w:r>
      <w:r>
        <w:rPr>
          <w:rFonts w:ascii="Times New Roman;serif" w:hAnsi="Times New Roman;serif"/>
          <w:b w:val="false"/>
          <w:color w:val="000000"/>
          <w:sz w:val="24"/>
        </w:rPr>
        <w:t xml:space="preserve">) that is two (2) U.S. Government Securities Business Days prior to such day, as such rate is published by the Term SOFR Administrator; provided, however, that if as of 5:00 p.m. (Eastern time) on any Base Rate Term SOFR Determination Day the Term SOFR Reference Rate for the applicable tenor has not been published by the Term SOFR Administrator and a Benchmark Replacement with respect to Term SOFR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w:t>
      </w:r>
    </w:p>
    <w:p>
      <w:pPr>
        <w:pStyle w:val="TextBody"/>
        <w:bidi w:val="0"/>
        <w:spacing w:before="0" w:after="0"/>
        <w:jc w:val="both"/>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long as such first preceding U.S. Government Securities Business Day is not more than three (3) U.S. Government Securities Business Days prior to such Base Rate Term SOFR Determination Day;</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provided, that if Term SOFR as so determined shall ever be less than zero, then Term SOFR shall be deemed to be zero.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Term SOFR Administrator</w:t>
      </w:r>
      <w:r>
        <w:rPr>
          <w:color w:val="000000"/>
        </w:rPr>
        <w:t xml:space="preserve">” </w:t>
      </w:r>
      <w:r>
        <w:rPr>
          <w:rFonts w:ascii="Times New Roman;serif" w:hAnsi="Times New Roman;serif"/>
          <w:b w:val="false"/>
          <w:color w:val="000000"/>
          <w:sz w:val="24"/>
        </w:rPr>
        <w:t>means CME Group Benchmark Administration Limited (CBA) (or a successor administrator of the Term SOFR Reference Rate selected by the Administrative Agent in its reasonable discretion).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Term SOFR Reference Rate</w:t>
      </w:r>
      <w:r>
        <w:rPr>
          <w:color w:val="000000"/>
        </w:rPr>
        <w:t xml:space="preserve">” </w:t>
      </w:r>
      <w:r>
        <w:rPr>
          <w:rFonts w:ascii="Times New Roman;serif" w:hAnsi="Times New Roman;serif"/>
          <w:b w:val="false"/>
          <w:color w:val="000000"/>
          <w:sz w:val="24"/>
        </w:rPr>
        <w:t>means the forward-looking term rate based on SOFR that has been selected or recommended by the Relevant Governmental Body.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Transactions</w:t>
      </w:r>
      <w:r>
        <w:rPr>
          <w:color w:val="000000"/>
        </w:rPr>
        <w:t xml:space="preserve">” </w:t>
      </w:r>
      <w:r>
        <w:rPr>
          <w:rFonts w:ascii="Times New Roman;serif" w:hAnsi="Times New Roman;serif"/>
          <w:b w:val="false"/>
          <w:color w:val="000000"/>
          <w:sz w:val="24"/>
        </w:rPr>
        <w:t>means the execution, delivery and performance by the Borrower of this Agreement, the borrowing of Loans and the use of the proceeds thereof.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Type</w:t>
      </w:r>
      <w:r>
        <w:rPr>
          <w:color w:val="000000"/>
        </w:rPr>
        <w:t>”</w:t>
      </w:r>
      <w:r>
        <w:rPr>
          <w:rFonts w:ascii="Times New Roman;serif" w:hAnsi="Times New Roman;serif"/>
          <w:b w:val="false"/>
          <w:color w:val="000000"/>
          <w:sz w:val="24"/>
        </w:rPr>
        <w:t>, when used in reference to any Loan or Borrowing, refers to whether the rate of interest on such Loan, or on the Loans comprising such Borrowing, is determined by reference to Term SOFR or the Alternate Base Rate.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UK Financial Institution</w:t>
      </w:r>
      <w:r>
        <w:rPr>
          <w:color w:val="000000"/>
        </w:rPr>
        <w:t xml:space="preserve">” </w:t>
      </w:r>
      <w:r>
        <w:rPr>
          <w:rFonts w:ascii="Times New Roman;serif" w:hAnsi="Times New Roman;serif"/>
          <w:b w:val="false"/>
          <w:color w:val="000000"/>
          <w:sz w:val="24"/>
        </w:rPr>
        <w:t>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UK Resolution Authority</w:t>
      </w:r>
      <w:r>
        <w:rPr>
          <w:color w:val="000000"/>
        </w:rPr>
        <w:t xml:space="preserve">” </w:t>
      </w:r>
      <w:r>
        <w:rPr>
          <w:rFonts w:ascii="Times New Roman;serif" w:hAnsi="Times New Roman;serif"/>
          <w:b w:val="false"/>
          <w:color w:val="000000"/>
          <w:sz w:val="24"/>
        </w:rPr>
        <w:t>means the Bank of England or any other public administrative authority having responsibility for the resolution of any UK Financial Institution.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Unadjusted Benchmark Replacement</w:t>
      </w:r>
      <w:r>
        <w:rPr>
          <w:color w:val="000000"/>
        </w:rPr>
        <w:t xml:space="preserve">” </w:t>
      </w:r>
      <w:r>
        <w:rPr>
          <w:rFonts w:ascii="Times New Roman;serif" w:hAnsi="Times New Roman;serif"/>
          <w:b w:val="false"/>
          <w:color w:val="000000"/>
          <w:sz w:val="24"/>
        </w:rPr>
        <w:t>means the applicable Benchmark Replacement excluding the related Benchmark Replacement Adjustment.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U.S. Government Securities Business Day</w:t>
      </w:r>
      <w:r>
        <w:rPr>
          <w:color w:val="000000"/>
        </w:rPr>
        <w:t xml:space="preserve">” </w:t>
      </w:r>
      <w:r>
        <w:rPr>
          <w:rFonts w:ascii="Times New Roman;serif" w:hAnsi="Times New Roman;serif"/>
          <w:b w:val="false"/>
          <w:color w:val="000000"/>
          <w:sz w:val="24"/>
        </w:rPr>
        <w:t>means any day except for (a) a Saturday, (b) a Sunday or (c) a day on which the Securities Industry and Financial Markets Association recommends that the fixed income departments of its members be closed for the entire day for purposes of trading in United States government securities; provided, that for purposes of notice requirements in Sections 2.03, 2.08 and 2.11 in each case, such day is also a Business Day.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U.S. Tax Compliance Certificate</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2.17(e)(ii)(B)(3)</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Withdrawal Liability</w:t>
      </w:r>
      <w:r>
        <w:rPr>
          <w:color w:val="000000"/>
        </w:rPr>
        <w:t xml:space="preserve">” </w:t>
      </w:r>
      <w:r>
        <w:rPr>
          <w:rFonts w:ascii="Times New Roman;serif" w:hAnsi="Times New Roman;serif"/>
          <w:b w:val="false"/>
          <w:color w:val="000000"/>
          <w:sz w:val="24"/>
        </w:rPr>
        <w:t>means liability to a Multiemployer Plan as a result of a complete or partial withdrawal from such Multiemployer Plan, as such terms are defined in Part I of Subtitle E of Title IV of ERISA.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Write-Down and Conversion Powers</w:t>
      </w:r>
      <w:r>
        <w:rPr>
          <w:color w:val="000000"/>
        </w:rPr>
        <w:t xml:space="preserve">” </w:t>
      </w:r>
      <w:r>
        <w:rPr>
          <w:rFonts w:ascii="Times New Roman;serif" w:hAnsi="Times New Roman;serif"/>
          <w:b w:val="false"/>
          <w:color w:val="000000"/>
          <w:sz w:val="24"/>
        </w:rPr>
        <w:t>means, (a) with respect to any EEA Resolution Authority, the write-down and conversion powers of such EEA Resolution Authority from time to time under the Bail-In Legislation for the applicable EEA Member Country, which write-</w:t>
      </w:r>
    </w:p>
    <w:p>
      <w:pPr>
        <w:pStyle w:val="TextBody"/>
        <w:bidi w:val="0"/>
        <w:spacing w:before="0" w:after="0"/>
        <w:jc w:val="both"/>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1.02. </w:t>
      </w:r>
      <w:r>
        <w:rPr>
          <w:rFonts w:ascii="Times New Roman;serif" w:hAnsi="Times New Roman;serif"/>
          <w:b w:val="false"/>
          <w:color w:val="000000"/>
          <w:sz w:val="24"/>
          <w:u w:val="single"/>
        </w:rPr>
        <w:t>Classification of Loans and Borrowings</w:t>
      </w:r>
      <w:r>
        <w:rPr>
          <w:rFonts w:ascii="Times New Roman;serif" w:hAnsi="Times New Roman;serif"/>
          <w:b w:val="false"/>
          <w:color w:val="000000"/>
          <w:sz w:val="24"/>
        </w:rPr>
        <w:t>. For purposes of this Agreement, Loans may be classified and referred to by Type (</w:t>
      </w:r>
      <w:r>
        <w:rPr>
          <w:rFonts w:ascii="Times New Roman;serif" w:hAnsi="Times New Roman;serif"/>
          <w:b w:val="false"/>
          <w:color w:val="000000"/>
          <w:sz w:val="24"/>
          <w:u w:val="single"/>
        </w:rPr>
        <w:t>e.g.</w:t>
      </w:r>
      <w:r>
        <w:rPr>
          <w:rFonts w:ascii="Times New Roman;serif" w:hAnsi="Times New Roman;serif"/>
          <w:b w:val="false"/>
          <w:color w:val="000000"/>
          <w:sz w:val="24"/>
        </w:rPr>
        <w:t>, a “SOFR Loan”). Borrowings also may be classified and referred to by Type (</w:t>
      </w:r>
      <w:r>
        <w:rPr>
          <w:rFonts w:ascii="Times New Roman;serif" w:hAnsi="Times New Roman;serif"/>
          <w:b w:val="false"/>
          <w:color w:val="000000"/>
          <w:sz w:val="24"/>
          <w:u w:val="single"/>
        </w:rPr>
        <w:t>e.g.</w:t>
      </w:r>
      <w:r>
        <w:rPr>
          <w:rFonts w:ascii="Times New Roman;serif" w:hAnsi="Times New Roman;serif"/>
          <w:b w:val="false"/>
          <w:color w:val="000000"/>
          <w:sz w:val="24"/>
        </w:rPr>
        <w:t>, a “SOFR Borrowing”).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1.03. </w:t>
      </w:r>
      <w:r>
        <w:rPr>
          <w:rFonts w:ascii="Times New Roman;serif" w:hAnsi="Times New Roman;serif"/>
          <w:b w:val="false"/>
          <w:color w:val="000000"/>
          <w:sz w:val="24"/>
          <w:u w:val="single"/>
        </w:rPr>
        <w:t>Terms Generally</w:t>
      </w:r>
      <w:r>
        <w:rPr>
          <w:rFonts w:ascii="Times New Roman;serif" w:hAnsi="Times New Roman;serif"/>
          <w:b w:val="false"/>
          <w:color w:val="000000"/>
          <w:sz w:val="24"/>
        </w:rPr>
        <w:t xml:space="preserve">.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1.04. </w:t>
      </w:r>
      <w:r>
        <w:rPr>
          <w:rFonts w:ascii="Times New Roman;serif" w:hAnsi="Times New Roman;serif"/>
          <w:b w:val="false"/>
          <w:color w:val="000000"/>
          <w:sz w:val="24"/>
          <w:u w:val="single"/>
        </w:rPr>
        <w:t>Accounting Terms; GAAP</w:t>
      </w:r>
      <w:r>
        <w:rPr>
          <w:rFonts w:ascii="Times New Roman;serif" w:hAnsi="Times New Roman;serif"/>
          <w:b w:val="false"/>
          <w:color w:val="000000"/>
          <w:sz w:val="24"/>
        </w:rPr>
        <w:t xml:space="preserve">. Except as otherwise expressly provided herein, all terms of an accounting or financial nature shall be construed in accordance with (i) except for purposes of </w:t>
      </w:r>
      <w:r>
        <w:rPr>
          <w:rFonts w:ascii="Times New Roman;serif" w:hAnsi="Times New Roman;serif"/>
          <w:b w:val="false"/>
          <w:color w:val="000000"/>
          <w:sz w:val="24"/>
          <w:u w:val="single"/>
        </w:rPr>
        <w:t>Section 6.07</w:t>
      </w:r>
      <w:r>
        <w:rPr>
          <w:rFonts w:ascii="Times New Roman;serif" w:hAnsi="Times New Roman;serif"/>
          <w:b w:val="false"/>
          <w:color w:val="000000"/>
          <w:sz w:val="24"/>
        </w:rPr>
        <w:t xml:space="preserve">, GAAP, as in effect from time to time;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that</w:t>
      </w:r>
      <w:r>
        <w:rPr>
          <w:rFonts w:ascii="Times New Roman;serif" w:hAnsi="Times New Roman;serif"/>
          <w:b w:val="false"/>
          <w:color w:val="000000"/>
          <w:sz w:val="24"/>
        </w:rPr>
        <w:t xml:space="preserve">,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and (ii) for purposes of </w:t>
      </w:r>
      <w:r>
        <w:rPr>
          <w:rFonts w:ascii="Times New Roman;serif" w:hAnsi="Times New Roman;serif"/>
          <w:b w:val="false"/>
          <w:color w:val="000000"/>
          <w:sz w:val="24"/>
          <w:u w:val="single"/>
        </w:rPr>
        <w:t>Section 6.07</w:t>
      </w:r>
      <w:r>
        <w:rPr>
          <w:rFonts w:ascii="Times New Roman;serif" w:hAnsi="Times New Roman;serif"/>
          <w:b w:val="false"/>
          <w:color w:val="000000"/>
          <w:sz w:val="24"/>
        </w:rPr>
        <w:t>, GAAP, as in effect on December 31, 2025.</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1.05. </w:t>
      </w:r>
      <w:r>
        <w:rPr>
          <w:rFonts w:ascii="Times New Roman;serif" w:hAnsi="Times New Roman;serif"/>
          <w:b w:val="false"/>
          <w:color w:val="000000"/>
          <w:sz w:val="24"/>
          <w:u w:val="single"/>
        </w:rPr>
        <w:t>Rates</w:t>
      </w:r>
      <w:r>
        <w:rPr>
          <w:rFonts w:ascii="Times New Roman;serif" w:hAnsi="Times New Roman;serif"/>
          <w:b w:val="false"/>
          <w:color w:val="000000"/>
          <w:sz w:val="24"/>
        </w:rPr>
        <w:t xml:space="preserve">. The Administrative Agent does not warrant or accept any responsibility for, and shall not have any liability with respect to, (i) the continuation of, administration of, submission of, calculation of or any other matter related to Term SOFR or other rates in the definition of “Term SOFR” or with respect to any alternative, successor or </w:t>
      </w:r>
    </w:p>
    <w:p>
      <w:pPr>
        <w:pStyle w:val="TextBody"/>
        <w:bidi w:val="0"/>
        <w:spacing w:before="0" w:after="0"/>
        <w:jc w:val="both"/>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replacement rate thereto (including any then-current Benchmark or any Benchmark Replacement), including whether the composition or characteristics of any such alternative, successor or replacement rate (including any Benchmark Replacement), as it may or may not be adjusted pursuant to </w:t>
      </w:r>
      <w:r>
        <w:rPr>
          <w:rFonts w:ascii="Times New Roman;serif" w:hAnsi="Times New Roman;serif"/>
          <w:b w:val="false"/>
          <w:color w:val="000000"/>
          <w:sz w:val="24"/>
          <w:u w:val="single"/>
        </w:rPr>
        <w:t>Section 2.14(c)</w:t>
      </w:r>
      <w:r>
        <w:rPr>
          <w:rFonts w:ascii="Times New Roman;serif" w:hAnsi="Times New Roman;serif"/>
          <w:b w:val="false"/>
          <w:color w:val="000000"/>
          <w:sz w:val="24"/>
        </w:rPr>
        <w:t>, will be similar to, or produce the same value or economic equivalence of, Term SOFR or any other Benchmark, or have the same volume or liquidity as did Term SOFR or any other Benchmark prior to its discontinuance or unavailability, or (ii) the effect, implementation or composition of any Conforming Changes. The Administrative Agent and its Affiliates or other related entities may engage in transactions that affect the calculation of a Benchmark, any alternative, successor or replacement rate (including any Benchmark Replacement) or any relevant adjustments thereto and such transactions may be adverse to the Borrower. The Administrative Agent may select information sources or services in its reasonable discretion to ascertain any Benchmark, any component definition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1.06. </w:t>
      </w:r>
      <w:r>
        <w:rPr>
          <w:rFonts w:ascii="Times New Roman;serif" w:hAnsi="Times New Roman;serif"/>
          <w:b w:val="false"/>
          <w:color w:val="000000"/>
          <w:sz w:val="24"/>
          <w:u w:val="single"/>
        </w:rPr>
        <w:t>Divisions</w:t>
      </w:r>
      <w:r>
        <w:rPr>
          <w:rFonts w:ascii="Times New Roman;serif" w:hAnsi="Times New Roman;serif"/>
          <w:b w:val="false"/>
          <w:color w:val="000000"/>
          <w:sz w:val="24"/>
        </w:rPr>
        <w:t>. For all purposes hereunder,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pStyle w:val="TextBody"/>
        <w:bidi w:val="0"/>
        <w:spacing w:lineRule="auto" w:line="288" w:before="0" w:after="240"/>
        <w:jc w:val="center"/>
        <w:rPr/>
      </w:pPr>
      <w:r>
        <w:rPr>
          <w:rFonts w:ascii="Times New Roman;serif" w:hAnsi="Times New Roman;serif"/>
          <w:b w:val="false"/>
          <w:color w:val="000000"/>
          <w:sz w:val="24"/>
        </w:rPr>
        <w:t>ARTICLE II</w:t>
        <w:br/>
        <w:br/>
      </w:r>
      <w:r>
        <w:rPr>
          <w:rFonts w:ascii="Times New Roman;serif" w:hAnsi="Times New Roman;serif"/>
          <w:b w:val="false"/>
          <w:color w:val="000000"/>
          <w:sz w:val="24"/>
          <w:u w:val="single"/>
        </w:rPr>
        <w:t>The Credits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2.01. </w:t>
      </w:r>
      <w:r>
        <w:rPr>
          <w:rFonts w:ascii="Times New Roman;serif" w:hAnsi="Times New Roman;serif"/>
          <w:b w:val="false"/>
          <w:color w:val="000000"/>
          <w:sz w:val="24"/>
          <w:u w:val="single"/>
        </w:rPr>
        <w:t>Commitments</w:t>
      </w:r>
      <w:r>
        <w:rPr>
          <w:rFonts w:ascii="Times New Roman;serif" w:hAnsi="Times New Roman;serif"/>
          <w:b w:val="false"/>
          <w:color w:val="000000"/>
          <w:sz w:val="24"/>
        </w:rPr>
        <w:t xml:space="preserve">. Subject to the terms and conditions set forth herein, each Lender agrees to make Loans to the Borrower from time to time during the Availability Period in an aggregate principal amount that will not result in (i) such Lender’s Exposure exceeding such Lender’s Commitment or (ii) the sum of the total Exposures exceeding the total Commitments. Within the foregoing limits and subject to the terms and conditions set forth herein, the Borrower may borrow, prepay and reborrow Loans.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2.02. </w:t>
      </w:r>
      <w:r>
        <w:rPr>
          <w:rFonts w:ascii="Times New Roman;serif" w:hAnsi="Times New Roman;serif"/>
          <w:b w:val="false"/>
          <w:color w:val="000000"/>
          <w:sz w:val="24"/>
          <w:u w:val="single"/>
        </w:rPr>
        <w:t>Loans and Borrowings</w:t>
      </w:r>
      <w:r>
        <w:rPr>
          <w:rFonts w:ascii="Times New Roman;serif" w:hAnsi="Times New Roman;serif"/>
          <w:b w:val="false"/>
          <w:color w:val="000000"/>
          <w:sz w:val="24"/>
        </w:rPr>
        <w:t xml:space="preserve">. (a)  Each Loan shall be made as part of a Borrowing consisting of Loans made by the Lenders ratably in accordance with their respective Commitments. The failure of any Lender to make any Loan required to be made by it shall not relieve any other Lender of its obligations hereunder;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that</w:t>
      </w:r>
      <w:r>
        <w:rPr>
          <w:color w:val="000000"/>
        </w:rPr>
        <w:t xml:space="preserve"> </w:t>
      </w:r>
      <w:r>
        <w:rPr>
          <w:rFonts w:ascii="Times New Roman;serif" w:hAnsi="Times New Roman;serif"/>
          <w:b w:val="false"/>
          <w:color w:val="000000"/>
          <w:sz w:val="24"/>
        </w:rPr>
        <w:t>the Commitments of the Lenders are several and no Lender shall be responsible for any other Lender’s failure to make Loans as required.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    Subject to </w:t>
      </w:r>
      <w:r>
        <w:rPr>
          <w:rFonts w:ascii="Times New Roman;serif" w:hAnsi="Times New Roman;serif"/>
          <w:b w:val="false"/>
          <w:color w:val="000000"/>
          <w:sz w:val="24"/>
          <w:u w:val="single"/>
        </w:rPr>
        <w:t>Section 2.14</w:t>
      </w:r>
      <w:r>
        <w:rPr>
          <w:rFonts w:ascii="Times New Roman;serif" w:hAnsi="Times New Roman;serif"/>
          <w:b w:val="false"/>
          <w:color w:val="000000"/>
          <w:sz w:val="24"/>
        </w:rPr>
        <w:t xml:space="preserve">, each Borrowing shall be comprised entirely of ABR Loans or SOFR Loans as the Borrower may request in accordance herewith. Each Lender at its option may make any SOFR Loan by causing any domestic or foreign branch or Affiliate of such </w:t>
      </w:r>
    </w:p>
    <w:p>
      <w:pPr>
        <w:pStyle w:val="TextBody"/>
        <w:bidi w:val="0"/>
        <w:spacing w:before="0" w:after="0"/>
        <w:jc w:val="both"/>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Lender to make such Loan;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that</w:t>
      </w:r>
      <w:r>
        <w:rPr>
          <w:color w:val="000000"/>
        </w:rPr>
        <w:t xml:space="preserve"> </w:t>
      </w:r>
      <w:r>
        <w:rPr>
          <w:rFonts w:ascii="Times New Roman;serif" w:hAnsi="Times New Roman;serif"/>
          <w:b w:val="false"/>
          <w:color w:val="000000"/>
          <w:sz w:val="24"/>
        </w:rPr>
        <w:t>any exercise of such option shall not affect the obligation of the Borrower to repay such Loan in accordance with the terms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(c)    At the commencement of each Interest Period for any SOFR Borrowing, such Borrowing shall be in an aggregate amount that is an integral multiple of $1,000,000 and not less than $5,000,000. At the time that each ABR Borrowing is made, such Borrowing shall be in an aggregate amount that is an integral multiple of $500,000 and not less than $1,000,000;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that</w:t>
      </w:r>
      <w:r>
        <w:rPr>
          <w:color w:val="000000"/>
        </w:rPr>
        <w:t xml:space="preserve"> </w:t>
      </w:r>
      <w:r>
        <w:rPr>
          <w:rFonts w:ascii="Times New Roman;serif" w:hAnsi="Times New Roman;serif"/>
          <w:b w:val="false"/>
          <w:color w:val="000000"/>
          <w:sz w:val="24"/>
        </w:rPr>
        <w:t xml:space="preserve">an ABR Borrowing may be in an aggregate amount that is equal to the entire unused balance of the total Commitments. Borrowings of more than one Type may be outstanding at the same time;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that</w:t>
      </w:r>
      <w:r>
        <w:rPr>
          <w:color w:val="000000"/>
        </w:rPr>
        <w:t xml:space="preserve"> </w:t>
      </w:r>
      <w:r>
        <w:rPr>
          <w:rFonts w:ascii="Times New Roman;serif" w:hAnsi="Times New Roman;serif"/>
          <w:b w:val="false"/>
          <w:color w:val="000000"/>
          <w:sz w:val="24"/>
        </w:rPr>
        <w:t xml:space="preserve">there shall not at any time be more than a total of twelve SOFR Borrowings outstanding.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Notwithstanding any other provision of this Agreement, the Borrower shall not be entitled to request, or to elect to convert or continue, any Borrowing if the Interest Period requested with respect thereto would end after the Maturity Date.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2.03. </w:t>
      </w:r>
      <w:r>
        <w:rPr>
          <w:rFonts w:ascii="Times New Roman;serif" w:hAnsi="Times New Roman;serif"/>
          <w:b w:val="false"/>
          <w:color w:val="000000"/>
          <w:sz w:val="24"/>
          <w:u w:val="single"/>
        </w:rPr>
        <w:t>Requests for Borrowings</w:t>
      </w:r>
      <w:r>
        <w:rPr>
          <w:rFonts w:ascii="Times New Roman;serif" w:hAnsi="Times New Roman;serif"/>
          <w:b w:val="false"/>
          <w:color w:val="000000"/>
          <w:sz w:val="24"/>
        </w:rPr>
        <w:t xml:space="preserve">. To request a Borrowing, the Borrower shall notify the Administrative Agent of such request by telephone (a) in the case of a SOFR Borrowing, not later than 11:00 a.m., New York City time, three Business Days before the date of the proposed Borrowing (or, upon implementation of a Benchmark Replacement in accordance with </w:t>
      </w:r>
      <w:r>
        <w:rPr>
          <w:rFonts w:ascii="Times New Roman;serif" w:hAnsi="Times New Roman;serif"/>
          <w:b w:val="false"/>
          <w:color w:val="000000"/>
          <w:sz w:val="24"/>
          <w:u w:val="single"/>
        </w:rPr>
        <w:t>Section 2.14</w:t>
      </w:r>
      <w:r>
        <w:rPr>
          <w:rFonts w:ascii="Times New Roman;serif" w:hAnsi="Times New Roman;serif"/>
          <w:b w:val="false"/>
          <w:color w:val="000000"/>
          <w:sz w:val="24"/>
        </w:rPr>
        <w:t xml:space="preserve">, by the Reference Time with respect thereto) or (b) in the case of an ABR Borrowing, not later than 11:00 a.m., New York City time, on the date of the proposed Borrowing. Each such telephonic Borrowing Request shall be irrevocable and shall be confirmed promptly by hand delivery or telecopy to the Administrative Agent of a written Borrowing Request signed by the Borrower. Each such telephonic and written Borrowing Request shall specify the following information in compliance with </w:t>
      </w:r>
      <w:r>
        <w:rPr>
          <w:rFonts w:ascii="Times New Roman;serif" w:hAnsi="Times New Roman;serif"/>
          <w:b w:val="false"/>
          <w:color w:val="000000"/>
          <w:sz w:val="24"/>
          <w:u w:val="single"/>
        </w:rPr>
        <w:t>Section 2.02</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the aggregate amount of the requested Borrowing;</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the date of such Borrowing, which shall be a Business Day;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whether such Borrowing is to be an ABR Borrowing or a SOFR Borrowing;</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    in the case of a SOFR Borrowing, the initial Interest Period to be applicable thereto, which shall be a period contemplated by the definition of the term “Interest Period”; and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(v)    the location and number of the Borrower’s account to which funds are to be disbursed, which shall comply with the requirements of </w:t>
      </w:r>
      <w:r>
        <w:rPr>
          <w:rFonts w:ascii="Times New Roman;serif" w:hAnsi="Times New Roman;serif"/>
          <w:b w:val="false"/>
          <w:color w:val="000000"/>
          <w:sz w:val="24"/>
          <w:u w:val="single"/>
        </w:rPr>
        <w:t>Section 2.07</w:t>
      </w:r>
      <w:r>
        <w:rPr>
          <w:rFonts w:ascii="Times New Roman;serif" w:hAnsi="Times New Roman;serif"/>
          <w:b w:val="false"/>
          <w:color w:val="000000"/>
          <w:sz w:val="24"/>
        </w:rPr>
        <w: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If no election as to the Type of Borrowing is specified, then the requested Borrowing shall be an ABR Borrowing. If no Interest Period is specified with respect to any requested SOFR Borrowing, then the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2.04. </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before="0" w:after="0"/>
        <w:jc w:val="both"/>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2.05. </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2.06. </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2.07. </w:t>
      </w:r>
      <w:r>
        <w:rPr>
          <w:rFonts w:ascii="Times New Roman;serif" w:hAnsi="Times New Roman;serif"/>
          <w:b w:val="false"/>
          <w:color w:val="000000"/>
          <w:sz w:val="24"/>
          <w:u w:val="single"/>
        </w:rPr>
        <w:t>Funding of Borrowings</w:t>
      </w:r>
      <w:r>
        <w:rPr>
          <w:rFonts w:ascii="Times New Roman;serif" w:hAnsi="Times New Roman;serif"/>
          <w:b w:val="false"/>
          <w:color w:val="000000"/>
          <w:sz w:val="24"/>
        </w:rPr>
        <w:t>. (a) Each Lender shall make each Loan to be made by it hereunder on the proposed date thereof by wire transfer of immediately available funds by 1:00 p.m., New York City time, to the account of the Administrative Agent most recently designated by it for such purpose by notice to the Lenders. The Administrative Agent will make such Loans available to the Borrower by promptly crediting the amounts so received, in like funds, to an account designated by the Borrower in the applicable Borrowing Request.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Unless the Administrative Agent shall have received notice from a Lender prior to the proposed date, or with respect to an ABR Loan, prior to 12:30 p.m., New York City time on the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 the interest rate applicable to such Borrowing. If such Lender pays such amount to the Administrative Agent, then such amount shall constitute such Lender’s Loan included in such Borrowing.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2.08. </w:t>
      </w:r>
      <w:r>
        <w:rPr>
          <w:rFonts w:ascii="Times New Roman;serif" w:hAnsi="Times New Roman;serif"/>
          <w:b w:val="false"/>
          <w:color w:val="000000"/>
          <w:sz w:val="24"/>
          <w:u w:val="single"/>
        </w:rPr>
        <w:t>Interest Elections</w:t>
      </w:r>
      <w:r>
        <w:rPr>
          <w:rFonts w:ascii="Times New Roman;serif" w:hAnsi="Times New Roman;serif"/>
          <w:b w:val="false"/>
          <w:color w:val="000000"/>
          <w:sz w:val="24"/>
        </w:rPr>
        <w:t>. (a) Each Borrowing initially shall be of the Type specified in the applicable Borrowing Request and, in the case of a SOFR Borrowing, shall have an initial Interest Period as specified in such Borrowing Request. Thereafter, the Borrower may elect to convert such Borrowing to a different Type or to continue such Borrowing and, in the case of a SOFR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    To make an election pursuant to this Section, the Borrower shall notify the Administrative Agent of such election by telephone by the time that a Borrowing Request would be required under </w:t>
      </w:r>
      <w:r>
        <w:rPr>
          <w:rFonts w:ascii="Times New Roman;serif" w:hAnsi="Times New Roman;serif"/>
          <w:b w:val="false"/>
          <w:color w:val="000000"/>
          <w:sz w:val="24"/>
          <w:u w:val="single"/>
        </w:rPr>
        <w:t>Section 2.03</w:t>
      </w:r>
      <w:r>
        <w:rPr>
          <w:color w:val="000000"/>
        </w:rPr>
        <w:t xml:space="preserve"> </w:t>
      </w:r>
      <w:r>
        <w:rPr>
          <w:rFonts w:ascii="Times New Roman;serif" w:hAnsi="Times New Roman;serif"/>
          <w:b w:val="false"/>
          <w:color w:val="000000"/>
          <w:sz w:val="24"/>
        </w:rPr>
        <w:t>if the Borrower were requesting a Borrowing of the Type resulting from such election to be made on the effective date of such election. Each such telephonic Interest Election Request shall be irrevocable and shall be confirmed promptly by hand delivery or telecopy to the Administrative Agent of a written Interest Election Request signed by the Borrower.</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(c)    Each telephonic and written Interest Election Request shall specify the following information in compliance with </w:t>
      </w:r>
      <w:r>
        <w:rPr>
          <w:rFonts w:ascii="Times New Roman;serif" w:hAnsi="Times New Roman;serif"/>
          <w:b w:val="false"/>
          <w:color w:val="000000"/>
          <w:sz w:val="24"/>
          <w:u w:val="single"/>
        </w:rPr>
        <w:t>Section 2.02</w:t>
      </w:r>
      <w:r>
        <w:rPr>
          <w:rFonts w:ascii="Times New Roman;serif" w:hAnsi="Times New Roman;serif"/>
          <w:b w:val="false"/>
          <w:color w:val="000000"/>
          <w:sz w:val="24"/>
        </w:rPr>
        <w:t>:</w:t>
      </w:r>
    </w:p>
    <w:p>
      <w:pPr>
        <w:pStyle w:val="TextBody"/>
        <w:bidi w:val="0"/>
        <w:spacing w:before="0" w:after="0"/>
        <w:jc w:val="both"/>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the effective date of the election made pursuant to such Interest Election Request, which shall be a Business Day;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whether the resulting Borrowing is to be an ABR Borrowing or a SOFR Borrowing;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    if the resulting Borrowing is a SOFR Borrowing, the Interest Period to be applicable thereto after giving effect to such election, which shall be a period contemplated by the definition of the term “Interest Period”.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If any such Interest Election Request requests a SOFR Borrowing but does not specify an Interest Period, then the Borrower shall be deemed to have selected an Interest Period of one month’s duration, in the case of a SOFR Borrowing.</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Promptly following receipt of an Interest Election Request, the Administrative Agent shall advise each Lender of the details thereof and of such Lender’s portion of each resulting Borrowing.</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If the Borrower fails to deliver a timely Interest Election Request with respect to a SOFR Borrowing prior to the end of the Interest Period applicable thereto, then, unless such Borrowing is repaid as provided herein, at the end of such Interest Period such Borrowing shall be converted to an ABR Borrowing. Notwithstanding any contrary provision hereof, if an Event of Default has occurred and is continuing and the Administrative Agent, at the request of the Required Lenders, so notifies the Borrower, then, so long as an Event of Default is continuing (i) no outstanding Borrowing may be converted to or continued as a SOFR Borrowing and (ii) unless repaid, each SOFR Borrowing shall be converted to an ABR Borrowing at the end of the Interest Period applicable thereto.</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2.09. </w:t>
      </w:r>
      <w:r>
        <w:rPr>
          <w:rFonts w:ascii="Times New Roman;serif" w:hAnsi="Times New Roman;serif"/>
          <w:b w:val="false"/>
          <w:color w:val="000000"/>
          <w:sz w:val="24"/>
          <w:u w:val="single"/>
        </w:rPr>
        <w:t>Termination and Reduction of Commitments</w:t>
      </w:r>
      <w:r>
        <w:rPr>
          <w:rFonts w:ascii="Times New Roman;serif" w:hAnsi="Times New Roman;serif"/>
          <w:b w:val="false"/>
          <w:color w:val="000000"/>
          <w:sz w:val="24"/>
        </w:rPr>
        <w:t xml:space="preserve">. (a) Unless previously terminated, the Commitments shall terminate on the Maturity Date.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    The Borrower may at any time terminate, or from time to time reduce, the Commitments;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that</w:t>
      </w:r>
      <w:r>
        <w:rPr>
          <w:color w:val="000000"/>
        </w:rPr>
        <w:t xml:space="preserve"> </w:t>
      </w:r>
      <w:r>
        <w:rPr>
          <w:rFonts w:ascii="Times New Roman;serif" w:hAnsi="Times New Roman;serif"/>
          <w:b w:val="false"/>
          <w:color w:val="000000"/>
          <w:sz w:val="24"/>
        </w:rPr>
        <w:t xml:space="preserve">(i) each reduction of the Commitments shall be in an amount that is an integral multiple of $1,000,000 and not less than $5,000,000 and (ii) the Borrower shall not terminate or reduce the Commitments if, after giving effect to any concurrent prepayment of the Loans in accordance with </w:t>
      </w:r>
      <w:r>
        <w:rPr>
          <w:rFonts w:ascii="Times New Roman;serif" w:hAnsi="Times New Roman;serif"/>
          <w:b w:val="false"/>
          <w:color w:val="000000"/>
          <w:sz w:val="24"/>
          <w:u w:val="single"/>
        </w:rPr>
        <w:t>Section 2.11</w:t>
      </w:r>
      <w:r>
        <w:rPr>
          <w:rFonts w:ascii="Times New Roman;serif" w:hAnsi="Times New Roman;serif"/>
          <w:b w:val="false"/>
          <w:color w:val="000000"/>
          <w:sz w:val="24"/>
        </w:rPr>
        <w:t>, the sum of the total Exposures would exceed the total Commitments.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    The Borrower shall notify the Administrative Agent of any election to terminate or reduce the Commitments under paragraph (b) of this Section at least three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 pursuant to this Section </w:t>
      </w:r>
    </w:p>
    <w:p>
      <w:pPr>
        <w:pStyle w:val="TextBody"/>
        <w:bidi w:val="0"/>
        <w:spacing w:before="0" w:after="0"/>
        <w:jc w:val="both"/>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shall be irrevocable;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that</w:t>
      </w:r>
      <w:r>
        <w:rPr>
          <w:color w:val="000000"/>
        </w:rPr>
        <w:t xml:space="preserve"> </w:t>
      </w:r>
      <w:r>
        <w:rPr>
          <w:rFonts w:ascii="Times New Roman;serif" w:hAnsi="Times New Roman;serif"/>
          <w:b w:val="false"/>
          <w:color w:val="000000"/>
          <w:sz w:val="24"/>
        </w:rPr>
        <w:t>a notice of termination of the Commitments delivered by the Borrower may state that such notice is conditioned upon the effectiveness of other credit facilities, in which case such notice may be revoked by the Borrower (by notice to the Administrative Agent on or prior to the specified effective date) if such condition is not satisfied. Any termination or reduction of the Commitments shall be permanent. Each reduction of the Commitments shall be made ratably among the Lenders in accordance with their respective Commitments.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2.10. </w:t>
      </w:r>
      <w:r>
        <w:rPr>
          <w:rFonts w:ascii="Times New Roman;serif" w:hAnsi="Times New Roman;serif"/>
          <w:b w:val="false"/>
          <w:color w:val="000000"/>
          <w:sz w:val="24"/>
          <w:u w:val="single"/>
        </w:rPr>
        <w:t>Repayment of Loans; Evidence of Debt</w:t>
      </w:r>
      <w:r>
        <w:rPr>
          <w:rFonts w:ascii="Times New Roman;serif" w:hAnsi="Times New Roman;serif"/>
          <w:b w:val="false"/>
          <w:color w:val="000000"/>
          <w:sz w:val="24"/>
        </w:rPr>
        <w:t>. (a) The Borrower hereby unconditionally promises to pay to the Administrative Agent for the account of each Lender the then unpaid principal amount of each Loan on the Maturity Date.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The Administrative Agent shall maintain accounts in which it shall record (i) the amount of each Loan made hereunder, the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(d)    The entries made in the accounts maintained pursuant to paragraph (b) or (c) of this Section shall be </w:t>
      </w:r>
      <w:r>
        <w:rPr>
          <w:rFonts w:ascii="Times New Roman;serif" w:hAnsi="Times New Roman;serif"/>
          <w:b w:val="false"/>
          <w:color w:val="000000"/>
          <w:sz w:val="24"/>
          <w:u w:val="single"/>
        </w:rPr>
        <w:t>prima</w:t>
      </w:r>
      <w:r>
        <w:rPr>
          <w:color w:val="000000"/>
        </w:rPr>
        <w:t xml:space="preserve"> </w:t>
      </w:r>
      <w:r>
        <w:rPr>
          <w:rFonts w:ascii="Times New Roman;serif" w:hAnsi="Times New Roman;serif"/>
          <w:b w:val="false"/>
          <w:color w:val="000000"/>
          <w:sz w:val="24"/>
          <w:u w:val="single"/>
        </w:rPr>
        <w:t>facie</w:t>
      </w:r>
      <w:r>
        <w:rPr>
          <w:color w:val="000000"/>
        </w:rPr>
        <w:t xml:space="preserve"> </w:t>
      </w:r>
      <w:r>
        <w:rPr>
          <w:rFonts w:ascii="Times New Roman;serif" w:hAnsi="Times New Roman;serif"/>
          <w:b w:val="false"/>
          <w:color w:val="000000"/>
          <w:sz w:val="24"/>
        </w:rPr>
        <w:t xml:space="preserve">evidence of the existence and amounts of the obligations recorded therein;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that</w:t>
      </w:r>
      <w:r>
        <w:rPr>
          <w:color w:val="000000"/>
        </w:rPr>
        <w:t xml:space="preserve"> </w:t>
      </w:r>
      <w:r>
        <w:rPr>
          <w:rFonts w:ascii="Times New Roman;serif" w:hAnsi="Times New Roman;serif"/>
          <w:b w:val="false"/>
          <w:color w:val="000000"/>
          <w:sz w:val="24"/>
        </w:rPr>
        <w:t>the failure of any Lender or the Administrative Agent to maintain such accounts or any error therein shall not in any manner affect the obligation of the Borrower to repay the Loans in accordance with the terms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(e)    Any Lender may request that Loans made by it be evidenced by a promissory note. In such event, the Borrower shall prepare, execute and deliver to such Lender a promissory note payable to such Lender (or, if requested by such Lender, to such Lender and its registered assigns) substantially in the form of note attached hereto as </w:t>
      </w:r>
      <w:r>
        <w:rPr>
          <w:rFonts w:ascii="Times New Roman;serif" w:hAnsi="Times New Roman;serif"/>
          <w:b w:val="false"/>
          <w:color w:val="000000"/>
          <w:sz w:val="24"/>
          <w:u w:val="single"/>
        </w:rPr>
        <w:t>Exhibit F</w:t>
      </w:r>
      <w:r>
        <w:rPr>
          <w:rFonts w:ascii="Times New Roman;serif" w:hAnsi="Times New Roman;serif"/>
          <w:b w:val="false"/>
          <w:color w:val="000000"/>
          <w:sz w:val="24"/>
        </w:rPr>
        <w:t xml:space="preserve">. Thereafter, the Loans evidenced by such promissory note and interest thereon shall at all times (including after assignment pursuant to </w:t>
      </w:r>
      <w:r>
        <w:rPr>
          <w:rFonts w:ascii="Times New Roman;serif" w:hAnsi="Times New Roman;serif"/>
          <w:b w:val="false"/>
          <w:color w:val="000000"/>
          <w:sz w:val="24"/>
          <w:u w:val="single"/>
        </w:rPr>
        <w:t>Section 9.04</w:t>
      </w:r>
      <w:r>
        <w:rPr>
          <w:rFonts w:ascii="Times New Roman;serif" w:hAnsi="Times New Roman;serif"/>
          <w:b w:val="false"/>
          <w:color w:val="000000"/>
          <w:sz w:val="24"/>
        </w:rPr>
        <w:t>) be represented by one or more promissory notes in such form payable to the payee named therein (or, if such promissory note is a registered note, to such payee and its registered assigns).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2.11. </w:t>
      </w:r>
      <w:r>
        <w:rPr>
          <w:rFonts w:ascii="Times New Roman;serif" w:hAnsi="Times New Roman;serif"/>
          <w:b w:val="false"/>
          <w:color w:val="000000"/>
          <w:sz w:val="24"/>
          <w:u w:val="single"/>
        </w:rPr>
        <w:t>Prepayment of Loans</w:t>
      </w:r>
      <w:r>
        <w:rPr>
          <w:rFonts w:ascii="Times New Roman;serif" w:hAnsi="Times New Roman;serif"/>
          <w:b w:val="false"/>
          <w:color w:val="000000"/>
          <w:sz w:val="24"/>
        </w:rPr>
        <w:t>. (a)  The Borrower shall have the right at any time and from time to time to prepay any Borrowing in whole or in part, subject to prior notice in accordance with paragraph (b) of this Section.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The Borrower shall notify the Administrative Agent by telephone (confirmed by telecopy) of any prepayment hereunder (i) in the case of prepayment of a SOFR Borrowing, not later than 11:00 a.m., New York City time, three Business Days before the date of prepayment, or (ii) in the case of prepayment of an ABR Borrowing, not later than 11:00 a.m., New York City time, on the date of prepayment. Each such notice shall be irrevocable and shall specify the prepayment date and the principal amount of each Borrowing or portion thereof to be prepaid; </w:t>
      </w:r>
    </w:p>
    <w:p>
      <w:pPr>
        <w:pStyle w:val="TextBody"/>
        <w:bidi w:val="0"/>
        <w:spacing w:before="0" w:after="0"/>
        <w:jc w:val="both"/>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that</w:t>
      </w:r>
      <w:r>
        <w:rPr>
          <w:rFonts w:ascii="Times New Roman;serif" w:hAnsi="Times New Roman;serif"/>
          <w:b w:val="false"/>
          <w:color w:val="000000"/>
          <w:sz w:val="24"/>
        </w:rPr>
        <w:t xml:space="preserve">, if a notice of prepayment is given in connection with a conditional notice of termination of the Commitments as contemplated by </w:t>
      </w:r>
      <w:r>
        <w:rPr>
          <w:rFonts w:ascii="Times New Roman;serif" w:hAnsi="Times New Roman;serif"/>
          <w:b w:val="false"/>
          <w:color w:val="000000"/>
          <w:sz w:val="24"/>
          <w:u w:val="single"/>
        </w:rPr>
        <w:t>Section 2.09</w:t>
      </w:r>
      <w:r>
        <w:rPr>
          <w:rFonts w:ascii="Times New Roman;serif" w:hAnsi="Times New Roman;serif"/>
          <w:b w:val="false"/>
          <w:color w:val="000000"/>
          <w:sz w:val="24"/>
        </w:rPr>
        <w:t xml:space="preserve">, then such notice of prepayment may be revoked if such notice of termination is revoked in accordance with </w:t>
      </w:r>
      <w:r>
        <w:rPr>
          <w:rFonts w:ascii="Times New Roman;serif" w:hAnsi="Times New Roman;serif"/>
          <w:b w:val="false"/>
          <w:color w:val="000000"/>
          <w:sz w:val="24"/>
          <w:u w:val="single"/>
        </w:rPr>
        <w:t>Section 2.09</w:t>
      </w:r>
      <w:r>
        <w:rPr>
          <w:rFonts w:ascii="Times New Roman;serif" w:hAnsi="Times New Roman;serif"/>
          <w:b w:val="false"/>
          <w:color w:val="000000"/>
          <w:sz w:val="24"/>
        </w:rPr>
        <w:t xml:space="preserve">. Promptly following receipt of any such notice relating to a Borrowing, the Administrative Agent shall advise the Lenders of the contents thereof. Each partial prepayment of any Borrowing shall be in an amount that is an integral multiple of $1,000,000 and not less than $1,000,000 in the case of an ABR Borrowing, or $3,000,000 in the case of a SOFR Borrowing. Each prepayment of a Borrowing shall be applied ratably to the Loans included in the prepaid Borrowing. Prepayments shall be accompanied by accrued interest to the extent required by </w:t>
      </w:r>
      <w:r>
        <w:rPr>
          <w:rFonts w:ascii="Times New Roman;serif" w:hAnsi="Times New Roman;serif"/>
          <w:b w:val="false"/>
          <w:color w:val="000000"/>
          <w:sz w:val="24"/>
          <w:u w:val="single"/>
        </w:rPr>
        <w:t>Section 2.13</w:t>
      </w:r>
      <w:r>
        <w:rPr>
          <w:color w:val="000000"/>
        </w:rPr>
        <w:t xml:space="preserve"> </w:t>
      </w:r>
      <w:r>
        <w:rPr>
          <w:rFonts w:ascii="Times New Roman;serif" w:hAnsi="Times New Roman;serif"/>
          <w:b w:val="false"/>
          <w:color w:val="000000"/>
          <w:sz w:val="24"/>
        </w:rPr>
        <w:t xml:space="preserve">and any breakfunding payments due under </w:t>
      </w:r>
      <w:r>
        <w:rPr>
          <w:rFonts w:ascii="Times New Roman;serif" w:hAnsi="Times New Roman;serif"/>
          <w:b w:val="false"/>
          <w:color w:val="000000"/>
          <w:sz w:val="24"/>
          <w:u w:val="single"/>
        </w:rPr>
        <w:t>Section 2.16</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2.12. </w:t>
      </w:r>
      <w:r>
        <w:rPr>
          <w:rFonts w:ascii="Times New Roman;serif" w:hAnsi="Times New Roman;serif"/>
          <w:b w:val="false"/>
          <w:color w:val="000000"/>
          <w:sz w:val="24"/>
          <w:u w:val="single"/>
        </w:rPr>
        <w:t>Fees</w:t>
      </w:r>
      <w:r>
        <w:rPr>
          <w:rFonts w:ascii="Times New Roman;serif" w:hAnsi="Times New Roman;serif"/>
          <w:b w:val="false"/>
          <w:color w:val="000000"/>
          <w:sz w:val="24"/>
        </w:rPr>
        <w:t xml:space="preserve">. (a)  The Borrower agrees to pay to the Administrative Agent for the account of each Lender a facility fee, which shall accrue at the Applicable Rate on the daily amount of the Commitment of such Lender (whether used or unused) during the period from and including the Effective Date to but excluding the date on which such Commitment terminates;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that</w:t>
      </w:r>
      <w:r>
        <w:rPr>
          <w:rFonts w:ascii="Times New Roman;serif" w:hAnsi="Times New Roman;serif"/>
          <w:b w:val="false"/>
          <w:color w:val="000000"/>
          <w:sz w:val="24"/>
        </w:rPr>
        <w:t xml:space="preserve">, if such Lender continues to have any Exposure after its Commitment terminates, then such facility fee shall continue to accrue on the daily amount of such Lender’s Exposure from and including the date on which its Commitment terminates to but excluding the date on which such Lender ceases to have any Exposure. Accrued facility fees shall be payable in arrears on the last day of March, June, September and December of each year, on the date on which the Commitments terminate, commencing on the first such date to occur after the date hereof;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that</w:t>
      </w:r>
      <w:r>
        <w:rPr>
          <w:color w:val="000000"/>
        </w:rPr>
        <w:t xml:space="preserve"> </w:t>
      </w:r>
      <w:r>
        <w:rPr>
          <w:rFonts w:ascii="Times New Roman;serif" w:hAnsi="Times New Roman;serif"/>
          <w:b w:val="false"/>
          <w:color w:val="000000"/>
          <w:sz w:val="24"/>
        </w:rPr>
        <w:t>any facility fees accruing after the date on which the Commitments terminate shall be payable on demand. All facility fees shall be computed on the basis of a year of 360 days and shall be payable for the actual number of days elapsed (including the first day but excluding the last day).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Reserved.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The Borrower agrees to pay to the Administrative Agent, for its own account, fees payable in the amounts and at the times separately agreed upon between the Borrower and the Administrative Agent.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All fees payable hereunder shall be paid on the dates due, in immediately available funds, to the Administrative Agent for distribution, in the case of facility fees and participation fees, to the Lenders. Fees paid shall not be refundable under any circumstances.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(e)    Anything herein to the contrary notwithstanding, during such period as a Lender is a Defaulting Lender, such Defaulting Lender will not be entitled to any facility fees accruing during such period pursuant to </w:t>
      </w:r>
      <w:r>
        <w:rPr>
          <w:rFonts w:ascii="Times New Roman;serif" w:hAnsi="Times New Roman;serif"/>
          <w:b w:val="false"/>
          <w:color w:val="000000"/>
          <w:sz w:val="24"/>
          <w:u w:val="single"/>
        </w:rPr>
        <w:t>Section 2.12(a)</w:t>
      </w:r>
      <w:r>
        <w:rPr>
          <w:color w:val="000000"/>
        </w:rPr>
        <w:t xml:space="preserve"> </w:t>
      </w:r>
      <w:r>
        <w:rPr>
          <w:rFonts w:ascii="Times New Roman;serif" w:hAnsi="Times New Roman;serif"/>
          <w:b w:val="false"/>
          <w:color w:val="000000"/>
          <w:sz w:val="24"/>
        </w:rPr>
        <w:t xml:space="preserve">with respect to any unfunded portion of such Lender’s Commitment (without prejudice to the rights of the Non-Defaulting Lenders in respect of any fees due such Non-Defaulting Lenders under such </w:t>
      </w:r>
      <w:r>
        <w:rPr>
          <w:rFonts w:ascii="Times New Roman;serif" w:hAnsi="Times New Roman;serif"/>
          <w:b w:val="false"/>
          <w:color w:val="000000"/>
          <w:sz w:val="24"/>
          <w:u w:val="single"/>
        </w:rPr>
        <w:t>Section 2.12(a)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2.13. </w:t>
      </w:r>
      <w:r>
        <w:rPr>
          <w:rFonts w:ascii="Times New Roman;serif" w:hAnsi="Times New Roman;serif"/>
          <w:b w:val="false"/>
          <w:color w:val="000000"/>
          <w:sz w:val="24"/>
          <w:u w:val="single"/>
        </w:rPr>
        <w:t>Interest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The Loans comprising each ABR Borrowing shall bear interest on each day at the Alternate Base Rate for such day plus an amount equal to the “ABR Spread” set forth in the pricing grid set forth in the defined term “Applicable Rate” that would be applicable to ABR Loans on such day.</w:t>
      </w:r>
    </w:p>
    <w:p>
      <w:pPr>
        <w:pStyle w:val="TextBody"/>
        <w:bidi w:val="0"/>
        <w:spacing w:before="0" w:after="0"/>
        <w:jc w:val="both"/>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Loans comprising each SOFR Borrowing shall bear interest on each day at Term SOFR for the Interest Period in effect for such Borrowing plus the Applicable Rate.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Notwithstanding the foregoing, if any principal of or interest on any Loan or any fee or other amount payable by the Borrower hereunder is not paid when due, whether at stated maturity, upon acceleration or otherwise, such overdue amount shall bear interest, after as well as before judgment, at a rate per annum equal to (i) in the case of overdue principal of any Loan, 2% plus the rate otherwise applicable to such Loan as provided in the preceding paragraphs of this Section or (ii) in the case of any other amount, 2% plus the rate applicable to ABR Loans as provided in paragraph (a) of this Section.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(d)    Accrued interest on each Loan shall be payable in arrears on each Interest Payment Date for such Loan and upon termination of the Commitments;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that</w:t>
      </w:r>
      <w:r>
        <w:rPr>
          <w:color w:val="000000"/>
        </w:rPr>
        <w:t xml:space="preserve"> </w:t>
      </w:r>
      <w:r>
        <w:rPr>
          <w:rFonts w:ascii="Times New Roman;serif" w:hAnsi="Times New Roman;serif"/>
          <w:b w:val="false"/>
          <w:color w:val="000000"/>
          <w:sz w:val="24"/>
        </w:rPr>
        <w:t>(i) interest accrued pursuant to paragraph (c) of this Section shall be payable on demand, (ii) in the event of any repayment or prepayment of any Loan (other than a prepayment of an ABR Loan prior to the end of the Availability Period), accrued interest on the principal amount repaid or prepaid shall be payable on the date of such repayment or prepayment and (iii) in the event of any conversion of any SOFR Loan prior to the end of the current Interest Period therefor, accrued interest on such Loan shall be payable on the effective date of such conversion.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All interest determined by reference to Term SOFR or clauses (b) or (c) of the definition of “Alternate Base Rate” shall be computed on the basis of a year of 360 days, and all other interest shall be computed on the basis of a year of 365 days (or 366 days in a leap year), and in each case shall be payable for the actual number of days elapsed (including the first day but excluding the last day). The applicable Alternate Base Rate or Term SOFR shall be determined by the Administrative Agent, and such determination shall be conclusive absent manifest error.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In connection with the use or administration of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2.14. </w:t>
      </w:r>
      <w:r>
        <w:rPr>
          <w:rFonts w:ascii="Times New Roman;serif" w:hAnsi="Times New Roman;serif"/>
          <w:b w:val="false"/>
          <w:color w:val="000000"/>
          <w:sz w:val="24"/>
          <w:u w:val="single"/>
        </w:rPr>
        <w:t>Alternate Rate of Interest</w:t>
      </w:r>
      <w:r>
        <w:rPr>
          <w:rFonts w:ascii="Times New Roman;serif" w:hAnsi="Times New Roman;serif"/>
          <w:b w:val="false"/>
          <w:color w:val="000000"/>
          <w:sz w:val="24"/>
        </w:rPr>
        <w:t>. Subject to clause (c) below, if prior to the commencement of any Interest Period for a SOFR Borrowing:</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the Administrative Agent determines (which determination shall be conclusive absent manifest error) that adequate and reasonable means do not exist for ascertaining Term SOFR for such Interest Period; 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Administrative Agent is advised by the Required Lenders that Term SOFR for such Interest Period will not adequately and fairly reflect the cost to such Lenders of making or maintaining their Loans included in such Borrowing for such Interest Period;</w:t>
      </w:r>
    </w:p>
    <w:p>
      <w:pPr>
        <w:pStyle w:val="TextBody"/>
        <w:bidi w:val="0"/>
        <w:spacing w:before="0" w:after="0"/>
        <w:jc w:val="both"/>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then the Administrative Agent shall give notice thereof to the Borrower and the Lenders by telecopy as promptly as practicable thereafter and, until the Administrative Agent notifies the Borrower and the Lenders that the circumstances giving rise to such notice no longer exist, (i) any Interest Election Request that requests the conversion of any Borrowing to, or continuation of any Borrowing as, a SOFR Borrowing shall be ineffective, and (ii) if any Borrowing Request requests a SOFR Borrowing, such Borrowing shall be made as an ABR Borrowing;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that</w:t>
      </w:r>
      <w:r>
        <w:rPr>
          <w:color w:val="000000"/>
        </w:rPr>
        <w:t xml:space="preserve"> </w:t>
      </w:r>
      <w:r>
        <w:rPr>
          <w:rFonts w:ascii="Times New Roman;serif" w:hAnsi="Times New Roman;serif"/>
          <w:b w:val="false"/>
          <w:color w:val="000000"/>
          <w:sz w:val="24"/>
        </w:rPr>
        <w:t>if the circumstances giving rise to such notice affect only one Type of Borrowing, then the other Type of Borrowing shall be permitted.</w:t>
      </w:r>
    </w:p>
    <w:p>
      <w:pPr>
        <w:pStyle w:val="TextBody"/>
        <w:bidi w:val="0"/>
        <w:spacing w:lineRule="auto" w:line="288" w:before="0" w:after="2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Benchmark Replacement Setting</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Benchmark Replacement</w:t>
      </w:r>
      <w:r>
        <w:rPr>
          <w:rFonts w:ascii="Times New Roman;serif" w:hAnsi="Times New Roman;serif"/>
          <w:b w:val="false"/>
          <w:color w:val="000000"/>
          <w:sz w:val="24"/>
        </w:rPr>
        <w:t>. Notwithstanding anything to the contrary herein or in any other loan document, if a Benchmark Replacement occurs prior to the Reference Time in respect of any setting of the then-current Benchmark, then such Benchmark Replacement will replace such Benchmark for all purposes hereunder in respect of any Benchmark setting at or after 5:00 p.m. (New York City time) on the fifth (5</w:t>
      </w:r>
      <w:r>
        <w:rPr>
          <w:rFonts w:ascii="Times New Roman;serif" w:hAnsi="Times New Roman;serif"/>
          <w:b w:val="false"/>
          <w:color w:val="000000"/>
          <w:sz w:val="16"/>
        </w:rPr>
        <w:t>th</w:t>
      </w:r>
      <w:r>
        <w:rPr>
          <w:rFonts w:ascii="Times New Roman;serif" w:hAnsi="Times New Roman;serif"/>
          <w:b w:val="false"/>
          <w:color w:val="000000"/>
          <w:sz w:val="24"/>
        </w:rPr>
        <w:t>) Business Day after the date notice of such Benchmark Replacement is provided to the Lenders without any amendment to, or further action or consent of any other party to, this Agreement so long as the Administrative Agent has not received, by such time, written notice of objection to such Benchmark Replacement from the Required Lenders.</w:t>
      </w:r>
    </w:p>
    <w:p>
      <w:pPr>
        <w:pStyle w:val="TextBody"/>
        <w:bidi w:val="0"/>
        <w:spacing w:lineRule="auto" w:line="288" w:before="0" w:after="240"/>
        <w:ind w:left="0" w:right="0" w:firstLine="720"/>
        <w:jc w:val="both"/>
        <w:rPr/>
      </w:pPr>
      <w:r>
        <w:rPr>
          <w:rFonts w:ascii="Times New Roman;serif" w:hAnsi="Times New Roman;serif"/>
          <w:b w:val="false"/>
          <w:color w:val="000000"/>
          <w:sz w:val="24"/>
        </w:rPr>
        <w:t>(ii)    </w:t>
      </w:r>
      <w:r>
        <w:rPr>
          <w:rFonts w:ascii="Times New Roman;serif" w:hAnsi="Times New Roman;serif"/>
          <w:b w:val="false"/>
          <w:color w:val="000000"/>
          <w:sz w:val="24"/>
          <w:u w:val="single"/>
        </w:rPr>
        <w:t>Conforming Changes</w:t>
      </w:r>
      <w:r>
        <w:rPr>
          <w:rFonts w:ascii="Times New Roman;serif" w:hAnsi="Times New Roman;serif"/>
          <w:b w:val="false"/>
          <w:color w:val="000000"/>
          <w:sz w:val="24"/>
        </w:rPr>
        <w:t>. In connection with the implementation of a Benchmark Replacement, the Administrative Agent will have the right to make (in consultation with the Borrower) Conforming Changes from time to time and, notwithstanding anything to the contrary herein or in any other loan document, any amendments implementing such Conforming Changes will become effective without any further action or consent of any other party to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(iii)    </w:t>
      </w:r>
      <w:r>
        <w:rPr>
          <w:rFonts w:ascii="Times New Roman;serif" w:hAnsi="Times New Roman;serif"/>
          <w:b w:val="false"/>
          <w:color w:val="000000"/>
          <w:sz w:val="24"/>
          <w:u w:val="single"/>
        </w:rPr>
        <w:t>Notices; Standards for Decisions and Determinations</w:t>
      </w:r>
      <w:r>
        <w:rPr>
          <w:rFonts w:ascii="Times New Roman;serif" w:hAnsi="Times New Roman;serif"/>
          <w:b w:val="false"/>
          <w:color w:val="000000"/>
          <w:sz w:val="24"/>
        </w:rPr>
        <w:t xml:space="preserve">. The Administrative Agent will promptly notify the Borrower and the Lenders of (A) the implementation of any Benchmark Replacement, (B) the effectiveness of any Conforming Changes, and (C) the removal or reinstatement of any tenor of a Benchmark pursuant to </w:t>
      </w:r>
      <w:r>
        <w:rPr>
          <w:rFonts w:ascii="Times New Roman;serif" w:hAnsi="Times New Roman;serif"/>
          <w:b w:val="false"/>
          <w:color w:val="000000"/>
          <w:sz w:val="24"/>
          <w:u w:val="single"/>
        </w:rPr>
        <w:t>Section 2.14(c)(iv)</w:t>
      </w:r>
      <w:r>
        <w:rPr>
          <w:color w:val="000000"/>
        </w:rPr>
        <w:t xml:space="preserve"> </w:t>
      </w:r>
      <w:r>
        <w:rPr>
          <w:rFonts w:ascii="Times New Roman;serif" w:hAnsi="Times New Roman;serif"/>
          <w:b w:val="false"/>
          <w:color w:val="000000"/>
          <w:sz w:val="24"/>
        </w:rPr>
        <w:t xml:space="preserve">below. Any determination, decision or election that may be made by the Administrative Agent or, if applicable, any Lender (or group of Lenders) pursuant to this </w:t>
      </w:r>
      <w:r>
        <w:rPr>
          <w:rFonts w:ascii="Times New Roman;serif" w:hAnsi="Times New Roman;serif"/>
          <w:b w:val="false"/>
          <w:color w:val="000000"/>
          <w:sz w:val="24"/>
          <w:u w:val="single"/>
        </w:rPr>
        <w:t>Section 2.14(c)</w:t>
      </w:r>
      <w:r>
        <w:rPr>
          <w:rFonts w:ascii="Times New Roman;serif" w:hAnsi="Times New Roman;serif"/>
          <w:b w:val="false"/>
          <w:color w:val="000000"/>
          <w:sz w:val="24"/>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reasonable discretion and without consent from any other party to this Agreement, except, in each case, as expressly required pursuant to this </w:t>
      </w:r>
      <w:r>
        <w:rPr>
          <w:rFonts w:ascii="Times New Roman;serif" w:hAnsi="Times New Roman;serif"/>
          <w:b w:val="false"/>
          <w:color w:val="000000"/>
          <w:sz w:val="24"/>
          <w:u w:val="single"/>
        </w:rPr>
        <w:t>Section 2.14(c)</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(iv)    </w:t>
      </w:r>
      <w:r>
        <w:rPr>
          <w:rFonts w:ascii="Times New Roman;serif" w:hAnsi="Times New Roman;serif"/>
          <w:b w:val="false"/>
          <w:color w:val="000000"/>
          <w:sz w:val="24"/>
          <w:u w:val="single"/>
        </w:rPr>
        <w:t>Unavailability of Tenor of Benchmark</w:t>
      </w:r>
      <w:r>
        <w:rPr>
          <w:rFonts w:ascii="Times New Roman;serif" w:hAnsi="Times New Roman;serif"/>
          <w:b w:val="false"/>
          <w:color w:val="000000"/>
          <w:sz w:val="24"/>
        </w:rPr>
        <w:t xml:space="preserve">. Notwithstanding anything to the contrary herein, at any time (including in connection with the implementation of a Benchmark Replacement), (A) if the then-current Benchmark is a term rate (including Term SOFR) and either (1) any tenor for such Benchmark is not displayed on a screen or other information service that publishes such rate from time to time as selected by the Administrative Agent in its reasonable discretion or (2) the regulatory supervisor for the administrator of such Benchmark has provided a public statement or publication of </w:t>
      </w:r>
    </w:p>
    <w:p>
      <w:pPr>
        <w:pStyle w:val="TextBody"/>
        <w:bidi w:val="0"/>
        <w:spacing w:before="0" w:after="0"/>
        <w:jc w:val="both"/>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information announcing that any tenor for such Benchmark is or will be no longer representative, then the Administrative Agent may modify the definition of “Interest Period” for any Benchmark settings at or after such time to remove such unavailable or non-representative tenor and (B) if a tenor that was removed pursuant to clause (A) above either (1) is subsequently displayed on a screen or information service for a Benchmark (including a Benchmark Replacement) or (2) is not, or is no longer, subject to an announcement that it is or will no longer be representative for a Benchmark (including a Benchmark Replacement), then the Administrative Agent may (and, upon request of the Borrower and as soon as commercially reasonable, shall) modify the definition of “Interest Period” for all Benchmark settings at or after such time to reinstate such previously removed tenor.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2.15. </w:t>
      </w:r>
      <w:r>
        <w:rPr>
          <w:rFonts w:ascii="Times New Roman;serif" w:hAnsi="Times New Roman;serif"/>
          <w:b w:val="false"/>
          <w:color w:val="000000"/>
          <w:sz w:val="24"/>
          <w:u w:val="single"/>
        </w:rPr>
        <w:t>Illegality; Increased Costs</w:t>
      </w:r>
      <w:r>
        <w:rPr>
          <w:rFonts w:ascii="Times New Roman;serif" w:hAnsi="Times New Roman;serif"/>
          <w:b w:val="false"/>
          <w:color w:val="000000"/>
          <w:sz w:val="24"/>
        </w:rPr>
        <w:t xml:space="preserve">. (a) If any Change in Law shall make it unlawful or impossible for any Lender to make, maintain or fund its SOFR Loans, such Lender shall so notify the Administrative Agent. Upon receipt of such notice, the Administrative Agent shall immediately give notice thereof to the other Lenders and to the Borrower, whereupon until such Lender notifies the Borrower and the Administrative Agent that the circumstances giving rise to such suspension no longer exist, the obligation of such Lender to make SOFR Loans shall be suspended. If such Lender shall determine that it may not lawfully continue to maintain and fund any of its outstanding SOFR Loans to maturity and shall so specify in such notice, the Borrower shall immediately prepay (which prepayment shall not be subject to </w:t>
      </w:r>
      <w:r>
        <w:rPr>
          <w:rFonts w:ascii="Times New Roman;serif" w:hAnsi="Times New Roman;serif"/>
          <w:b w:val="false"/>
          <w:color w:val="000000"/>
          <w:sz w:val="24"/>
          <w:u w:val="single"/>
        </w:rPr>
        <w:t>Section 2.11</w:t>
      </w:r>
      <w:r>
        <w:rPr>
          <w:rFonts w:ascii="Times New Roman;serif" w:hAnsi="Times New Roman;serif"/>
          <w:b w:val="false"/>
          <w:color w:val="000000"/>
          <w:sz w:val="24"/>
        </w:rPr>
        <w:t>) in full the then outstanding principal amount of such SOFR Loans, together with the accrued interest thereon.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If any Change in Law shall:</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    impose, modify or deem applicable any reserve, special deposit or similar requirement against assets of, deposits with or for the account of, or credit extended by, any Lender (except any such reserve requirement reflected in </w:t>
      </w:r>
      <w:r>
        <w:rPr>
          <w:rFonts w:ascii="Times New Roman;serif" w:hAnsi="Times New Roman;serif"/>
          <w:b w:val="false"/>
          <w:color w:val="000000"/>
          <w:sz w:val="24"/>
          <w:u w:val="single"/>
        </w:rPr>
        <w:t>Section 2.13(f))</w:t>
      </w:r>
      <w:r>
        <w:rPr>
          <w:rFonts w:ascii="Times New Roman;serif" w:hAnsi="Times New Roman;serif"/>
          <w:b w:val="false"/>
          <w:color w:val="000000"/>
          <w:sz w:val="24"/>
        </w:rPr>
        <w:t>; 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impose on any Lender any other condition affecting this Agreement or SOFR Loans made by such Lender;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and the result of any of the foregoing shall be to increase the cost to such Lender of making, converting to, continuing or maintaining any SOFR Loan (or of maintaining its obligation to make any such Loan) or to reduce the amount of any sum received or receivable by such Lender hereunder (whether of principal, interest or otherwise), then the Borrower will pay to such Lender such additional amount or amounts as will compensate such Lender for such additional costs incurred or reduction suffered.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If any Lender determines that any Change in Law regarding capital or liquidity requirements has or would have the effect of reducing the rate of return on such Lender’s capital or on the capital of such Lender’s holding company, if any, as a consequence of this Agreement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then from time to time the Borrower will pay to such Lender such additional amount or amounts as will compensate such Lender or such Lender’s holding company for any such reduction suffered.</w:t>
      </w:r>
    </w:p>
    <w:p>
      <w:pPr>
        <w:pStyle w:val="TextBody"/>
        <w:bidi w:val="0"/>
        <w:spacing w:before="0" w:after="0"/>
        <w:jc w:val="both"/>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    A certificate of a Lender setting forth, in reasonable detail showing the computation thereof, the amount or amounts necessary to compensate such Lender or its holding company, as the case may be, as specified in paragraphs (a), (b) or (c) of this Section shall be delivered to the Borrower and shall be conclusive absent manifest error. Such certificate shall further certify that such Lender is making similar demands of its other similarly situated borrowers. The Borrower shall pay such Lender the amount shown as due on any such certificate within 10 days after receipt thereof, if such certificate complies herewith.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(e)    Failure or delay on the part of any Lender to demand compensation pursuant to this Section shall not constitute a waiver of such Lender’s right to demand such compensation;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that</w:t>
      </w:r>
      <w:r>
        <w:rPr>
          <w:color w:val="000000"/>
        </w:rPr>
        <w:t xml:space="preserve"> </w:t>
      </w:r>
      <w:r>
        <w:rPr>
          <w:rFonts w:ascii="Times New Roman;serif" w:hAnsi="Times New Roman;serif"/>
          <w:b w:val="false"/>
          <w:color w:val="000000"/>
          <w:sz w:val="24"/>
        </w:rPr>
        <w:t xml:space="preserve">the Borrower shall not be required to compensate a Lender pursuant to this Section for any increased costs or reductions incurred more than 90 days prior to the date that such Lender notifies the Borrower of the Change in Law giving rise to such increased costs or reductions and of such Lender’s intention to claim compensation therefor;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further</w:t>
      </w:r>
      <w:r>
        <w:rPr>
          <w:color w:val="000000"/>
        </w:rPr>
        <w:t xml:space="preserve"> </w:t>
      </w:r>
      <w:r>
        <w:rPr>
          <w:rFonts w:ascii="Times New Roman;serif" w:hAnsi="Times New Roman;serif"/>
          <w:b w:val="false"/>
          <w:color w:val="000000"/>
          <w:sz w:val="24"/>
        </w:rPr>
        <w:t>that, if the Change in Law giving rise to such increased costs or reductions is retroactive, then the 90-day period referred to above shall be extended to include the period of retroactive effect thereof (to the extent that such period of retroactive effect is not already included in such 90-day period).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2.16. </w:t>
      </w:r>
      <w:r>
        <w:rPr>
          <w:rFonts w:ascii="Times New Roman;serif" w:hAnsi="Times New Roman;serif"/>
          <w:b w:val="false"/>
          <w:color w:val="000000"/>
          <w:sz w:val="24"/>
          <w:u w:val="single"/>
        </w:rPr>
        <w:t>Break Funding Payments</w:t>
      </w:r>
      <w:r>
        <w:rPr>
          <w:rFonts w:ascii="Times New Roman;serif" w:hAnsi="Times New Roman;serif"/>
          <w:b w:val="false"/>
          <w:color w:val="000000"/>
          <w:sz w:val="24"/>
        </w:rPr>
        <w:t xml:space="preserve">. In the event of (a) the payment of any principal of any SOFR Loan other than on the last day of an Interest Period applicable thereto (including as a result of an Event of Default), (b) the conversion of any SOFR Loan other than on the last day of the Interest Period applicable thereto, (c) the failure to borrow, convert, continue or prepay any Loan on the date specified in any notice delivered pursuant hereto (regardless of whether such notice may be revoked under </w:t>
      </w:r>
      <w:r>
        <w:rPr>
          <w:rFonts w:ascii="Times New Roman;serif" w:hAnsi="Times New Roman;serif"/>
          <w:b w:val="false"/>
          <w:color w:val="000000"/>
          <w:sz w:val="24"/>
          <w:u w:val="single"/>
        </w:rPr>
        <w:t>Section 2.11(b)</w:t>
      </w:r>
      <w:r>
        <w:rPr>
          <w:color w:val="000000"/>
        </w:rPr>
        <w:t xml:space="preserve"> </w:t>
      </w:r>
      <w:r>
        <w:rPr>
          <w:rFonts w:ascii="Times New Roman;serif" w:hAnsi="Times New Roman;serif"/>
          <w:b w:val="false"/>
          <w:color w:val="000000"/>
          <w:sz w:val="24"/>
        </w:rPr>
        <w:t xml:space="preserve">and is revoked in accordance therewith), or (d) the assignment of any SOFR Loan other than on the last day of the Interest Period applicable thereto as a result of a request by the Borrower pursuant to </w:t>
      </w:r>
      <w:r>
        <w:rPr>
          <w:rFonts w:ascii="Times New Roman;serif" w:hAnsi="Times New Roman;serif"/>
          <w:b w:val="false"/>
          <w:color w:val="000000"/>
          <w:sz w:val="24"/>
          <w:u w:val="single"/>
        </w:rPr>
        <w:t>Section 2.19</w:t>
      </w:r>
      <w:r>
        <w:rPr>
          <w:rFonts w:ascii="Times New Roman;serif" w:hAnsi="Times New Roman;serif"/>
          <w:b w:val="false"/>
          <w:color w:val="000000"/>
          <w:sz w:val="24"/>
        </w:rPr>
        <w:t>, then, in any such event, the Borrower shall compensate each Lender for the loss, cost and expense (excluding loss of anticipated profits) attributable to such event. A certificate of any Lender setting forth, in reasonable detail showing the computation thereof, any amount or amounts that such Lender is entitled to receive pursuant to this Section shall be delivered to the Borrower and shall be conclusive absent manifest error. The Borrower shall pay such Lender the amount shown as due on any such certificate within 10 days after receipt thereof, if such certificate complies herewith.</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2.17. </w:t>
      </w:r>
      <w:r>
        <w:rPr>
          <w:rFonts w:ascii="Times New Roman;serif" w:hAnsi="Times New Roman;serif"/>
          <w:b w:val="false"/>
          <w:color w:val="000000"/>
          <w:sz w:val="24"/>
          <w:u w:val="single"/>
        </w:rPr>
        <w:t>Taxes</w:t>
      </w:r>
      <w:r>
        <w:rPr>
          <w:rFonts w:ascii="Times New Roman;serif" w:hAnsi="Times New Roman;serif"/>
          <w:b w:val="false"/>
          <w:color w:val="000000"/>
          <w:sz w:val="24"/>
        </w:rPr>
        <w:t xml:space="preserve">. (a)  Any and all payments by or on account of any obligation of the Borrower hereunder shall be made free and clear of and without deduction for any Indemnified Taxes or Other Taxes;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that</w:t>
      </w:r>
      <w:r>
        <w:rPr>
          <w:color w:val="000000"/>
        </w:rPr>
        <w:t xml:space="preserve"> </w:t>
      </w:r>
      <w:r>
        <w:rPr>
          <w:rFonts w:ascii="Times New Roman;serif" w:hAnsi="Times New Roman;serif"/>
          <w:b w:val="false"/>
          <w:color w:val="000000"/>
          <w:sz w:val="24"/>
        </w:rPr>
        <w:t xml:space="preserve">if the Borrower shall be required to deduct any Indemnified Taxes or Other Taxes from such payments, then (i) the sum payable shall be increased as necessary so that after making all required deductions (including deductions applicable to additional sums payable under this Section) the Administrative Agent or any Lender (as the case may be) receives an amount equal to the sum it would have received had no such deductions been made, (ii) the Borrower shall make such deductions and (iii) the Borrower shall pay the full amount deducted to the relevant Governmental Authority in accordance with applicable law.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    In addition, without duplication of any obligation in </w:t>
      </w:r>
      <w:r>
        <w:rPr>
          <w:rFonts w:ascii="Times New Roman;serif" w:hAnsi="Times New Roman;serif"/>
          <w:b w:val="false"/>
          <w:color w:val="000000"/>
          <w:sz w:val="24"/>
          <w:u w:val="single"/>
        </w:rPr>
        <w:t xml:space="preserve">Section 2.17(a)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(c)</w:t>
      </w:r>
      <w:r>
        <w:rPr>
          <w:rFonts w:ascii="Times New Roman;serif" w:hAnsi="Times New Roman;serif"/>
          <w:b w:val="false"/>
          <w:color w:val="000000"/>
          <w:sz w:val="24"/>
        </w:rPr>
        <w:t>, the Borrower shall pay any Other Taxes to the relevant Governmental Authority in accordance with applicable law.</w:t>
      </w:r>
    </w:p>
    <w:p>
      <w:pPr>
        <w:pStyle w:val="TextBody"/>
        <w:bidi w:val="0"/>
        <w:spacing w:before="0" w:after="0"/>
        <w:jc w:val="both"/>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(c)    Without duplication of any other obligation in this </w:t>
      </w:r>
      <w:r>
        <w:rPr>
          <w:rFonts w:ascii="Times New Roman;serif" w:hAnsi="Times New Roman;serif"/>
          <w:b w:val="false"/>
          <w:color w:val="000000"/>
          <w:sz w:val="24"/>
          <w:u w:val="single"/>
        </w:rPr>
        <w:t>Section 2.17</w:t>
      </w:r>
      <w:r>
        <w:rPr>
          <w:rFonts w:ascii="Times New Roman;serif" w:hAnsi="Times New Roman;serif"/>
          <w:b w:val="false"/>
          <w:color w:val="000000"/>
          <w:sz w:val="24"/>
        </w:rPr>
        <w:t xml:space="preserve">, the Borrower shall indemnify the Administrative Agent and each Lender, within 10 days after written demand therefor, for the full amount of any Indemnified Taxes or Other Taxes paid by the Administrative Agent or such Lender, as the case may be, on or with respect to any payment by or on account of any obligation of the Borrower hereunder (including Indemnified Taxes or Other Taxes imposed or asserted on or attributable to amounts payable under this Section) and any penalties, interest and reasonable expenses arising therefrom or with respect thereto, whether or not such Indemnified Taxes or Other Taxes were correctly or legally imposed or asserted by the relevant Governmental Authority;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that</w:t>
      </w:r>
      <w:r>
        <w:rPr>
          <w:color w:val="000000"/>
        </w:rPr>
        <w:t xml:space="preserve"> </w:t>
      </w:r>
      <w:r>
        <w:rPr>
          <w:rFonts w:ascii="Times New Roman;serif" w:hAnsi="Times New Roman;serif"/>
          <w:b w:val="false"/>
          <w:color w:val="000000"/>
          <w:sz w:val="24"/>
        </w:rPr>
        <w:t xml:space="preserve">the Borrower shall not be required to indemnify or reimburse the Administrative Agent or a Lender pursuant to this Section for any Indemnified Taxes or Other Taxes imposed or asserted more than 90 days prior to the date that the Administrative Agent or such Lender notifies the Borrower of the Indemnified Taxes or Other Taxes imposed or asserted and of the Administrative Agent’s or such Lender’s intention to claim compensation therefor;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further</w:t>
      </w:r>
      <w:r>
        <w:rPr>
          <w:color w:val="000000"/>
        </w:rPr>
        <w:t xml:space="preserve"> </w:t>
      </w:r>
      <w:r>
        <w:rPr>
          <w:rFonts w:ascii="Times New Roman;serif" w:hAnsi="Times New Roman;serif"/>
          <w:b w:val="false"/>
          <w:color w:val="000000"/>
          <w:sz w:val="24"/>
        </w:rPr>
        <w:t xml:space="preserve">that, if the Indemnified Taxes or Other Taxes imposed or asserted giving rise to such claims are retroactive, then the 90-day period referred to above shall be extended to include the period of retroactive effect thereof (to the extent that such period of retroactive effect is not already included in such 90-day period). A certificate setting forth, in reasonable detail showing the computation thereof, the amount of such payment or liability delivered to the Borrower by a Lender, or by the Administrative Agent on its own behalf or on behalf of a Lender, shall be conclusive absent manifest error.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As soon as practicable after any payment of Indemnified Taxes or Other Taxes by the Borrower to a Governmental Authority,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Status of Lenders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any law, rule or regulation or in the interpretation or application thereof by any Governmental Authority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serif" w:hAnsi="Times New Roman;serif"/>
          <w:b w:val="false"/>
          <w:color w:val="000000"/>
          <w:sz w:val="24"/>
          <w:u w:val="single"/>
        </w:rPr>
        <w:t>Section 2.17(f)(ii)(A)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2.17(f)</w:t>
      </w:r>
      <w:r>
        <w:rPr>
          <w:color w:val="000000"/>
        </w:rPr>
        <w:t xml:space="preserve"> </w:t>
      </w:r>
      <w:r>
        <w:rPr>
          <w:rFonts w:ascii="Times New Roman;serif" w:hAnsi="Times New Roman;serif"/>
          <w:b w:val="false"/>
          <w:color w:val="000000"/>
          <w:sz w:val="24"/>
        </w:rPr>
        <w:t>below)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before="0" w:after="0"/>
        <w:jc w:val="both"/>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Without limiting the generality of the foregoing, in the event that the Borrower is a “United States person” as defined in section 7701(a)(30) of the Code,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any Lender that is a “United States person” as defined in section 7701(a)(30) of the Code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United States federal backup withholding tax;</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(1)    with respect to payments of interest under any loan document, executed copies of IRS Form W-8BEN-E or IRS Form W-8BEN, as applicable, establishing an exemption from, or reduction of, United States federal withholding Tax pursuant to the “interest” article of an income tax treaty to which the United States is a party, and with respect to any other applicable payments under any loan document, IRS Form W-8BEN-E or IRS Form W-8BEN, as applicable, establishing an exemption from, or reduction of, United States federal withholding tax pursuant to the “business profits” or “other income” article of such tax treaty;</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(2)    executed copies of IRS Form W-8ECI;</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(3)    a certificate substantially in the form of </w:t>
      </w:r>
      <w:r>
        <w:rPr>
          <w:rFonts w:ascii="Times New Roman;serif" w:hAnsi="Times New Roman;serif"/>
          <w:b w:val="false"/>
          <w:color w:val="000000"/>
          <w:sz w:val="24"/>
          <w:u w:val="single"/>
        </w:rPr>
        <w:t>Exhibit G-1</w:t>
      </w:r>
      <w:r>
        <w:rPr>
          <w:color w:val="000000"/>
        </w:rPr>
        <w:t xml:space="preserve"> </w:t>
      </w:r>
      <w:r>
        <w:rPr>
          <w:rFonts w:ascii="Times New Roman;serif" w:hAnsi="Times New Roman;serif"/>
          <w:b w:val="false"/>
          <w:color w:val="000000"/>
          <w:sz w:val="24"/>
        </w:rPr>
        <w:t>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Times New Roman;serif" w:hAnsi="Times New Roman;serif"/>
          <w:b w:val="false"/>
          <w:color w:val="000000"/>
          <w:sz w:val="24"/>
          <w:u w:val="single"/>
        </w:rPr>
        <w:t>U.S. Tax Compliance Certificate</w:t>
      </w:r>
      <w:r>
        <w:rPr>
          <w:color w:val="000000"/>
        </w:rPr>
        <w:t>”</w:t>
      </w:r>
      <w:r>
        <w:rPr>
          <w:rFonts w:ascii="Times New Roman;serif" w:hAnsi="Times New Roman;serif"/>
          <w:b w:val="false"/>
          <w:color w:val="000000"/>
          <w:sz w:val="24"/>
        </w:rPr>
        <w:t>), and executed copies of IRS Form W-8BEN-E or IRS Form W-8BEN, as applicable; or</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(4)    executed copies of IRS Form W-8IMY, accompanied by IRS Form W-8ECI, IRS Form W-8BEN-E, IRS Form W-8BEN, a U.S. Tax Compliance Certificate substantially in the form of </w:t>
      </w:r>
      <w:r>
        <w:rPr>
          <w:rFonts w:ascii="Times New Roman;serif" w:hAnsi="Times New Roman;serif"/>
          <w:b w:val="false"/>
          <w:color w:val="000000"/>
          <w:sz w:val="24"/>
          <w:u w:val="single"/>
        </w:rPr>
        <w:t>Exhibit G-2</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Exhibit G-3</w:t>
      </w:r>
      <w:r>
        <w:rPr>
          <w:rFonts w:ascii="Times New Roman;serif" w:hAnsi="Times New Roman;serif"/>
          <w:b w:val="false"/>
          <w:color w:val="000000"/>
          <w:sz w:val="24"/>
        </w:rPr>
        <w:t xml:space="preserve">, IRS Form W-9, and/or other certification documents from each beneficial owner, as applicable;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serif" w:hAnsi="Times New Roman;serif"/>
          <w:b w:val="false"/>
          <w:color w:val="000000"/>
          <w:sz w:val="24"/>
          <w:u w:val="single"/>
        </w:rPr>
        <w:t>Exhibit G-4</w:t>
      </w:r>
      <w:r>
        <w:rPr>
          <w:color w:val="000000"/>
        </w:rPr>
        <w:t xml:space="preserve"> </w:t>
      </w:r>
      <w:r>
        <w:rPr>
          <w:rFonts w:ascii="Times New Roman;serif" w:hAnsi="Times New Roman;serif"/>
          <w:b w:val="false"/>
          <w:color w:val="000000"/>
          <w:sz w:val="24"/>
        </w:rPr>
        <w:t>on behalf of each such direct and indirect partner;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(iii)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w:t>
      </w:r>
    </w:p>
    <w:p>
      <w:pPr>
        <w:pStyle w:val="TextBody"/>
        <w:bidi w:val="0"/>
        <w:spacing w:before="0" w:after="0"/>
        <w:jc w:val="both"/>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other form prescribed by any law, rule or regulation or in the interpretation or application thereof by any Governmental Authority as a basis for claiming exemption from or a reduction in United States federal withholding tax, duly completed, together with such supplementary documentation as may be prescribed thereby to permit the Borrower or the Administrative Agent to determine the withholding or deduction required to be made.</w:t>
      </w:r>
    </w:p>
    <w:p>
      <w:pPr>
        <w:pStyle w:val="TextBody"/>
        <w:bidi w:val="0"/>
        <w:spacing w:lineRule="auto" w:line="288" w:before="0" w:after="240"/>
        <w:jc w:val="both"/>
        <w:rPr/>
      </w:pPr>
      <w:r>
        <w:rPr>
          <w:rFonts w:ascii="Times New Roman;serif" w:hAnsi="Times New Roman;serif"/>
          <w:b w:val="false"/>
          <w:color w:val="000000"/>
          <w:sz w:val="24"/>
        </w:rPr>
        <w:t xml:space="preserve">Each Lender agrees that if any form or certification it previously delivered under this </w:t>
      </w:r>
      <w:r>
        <w:rPr>
          <w:rFonts w:ascii="Times New Roman;serif" w:hAnsi="Times New Roman;serif"/>
          <w:b w:val="false"/>
          <w:color w:val="000000"/>
          <w:sz w:val="24"/>
          <w:u w:val="single"/>
        </w:rPr>
        <w:t xml:space="preserve">Section 2.17 </w:t>
      </w:r>
      <w:r>
        <w:rPr>
          <w:rFonts w:ascii="Times New Roman;serif" w:hAnsi="Times New Roman;serif"/>
          <w:b w:val="false"/>
          <w:color w:val="000000"/>
          <w:sz w:val="24"/>
        </w:rPr>
        <w:t>expires or becomes obsolete or inaccurate in any respect, it shall update such form or certification or promptly notify the Borrower and the Administrative Agent in writing of its legal inability to do so.</w:t>
      </w:r>
    </w:p>
    <w:p>
      <w:pPr>
        <w:pStyle w:val="TextBody"/>
        <w:bidi w:val="0"/>
        <w:spacing w:lineRule="auto" w:line="288" w:before="0" w:after="240"/>
        <w:ind w:left="0" w:right="0" w:firstLine="720"/>
        <w:jc w:val="both"/>
        <w:rPr/>
      </w:pPr>
      <w:r>
        <w:rPr>
          <w:rFonts w:ascii="Times New Roman;serif" w:hAnsi="Times New Roman;serif"/>
          <w:b w:val="false"/>
          <w:color w:val="000000"/>
          <w:sz w:val="24"/>
        </w:rPr>
        <w:t>(f)    </w:t>
      </w:r>
      <w:r>
        <w:rPr>
          <w:rFonts w:ascii="Times New Roman;serif" w:hAnsi="Times New Roman;serif"/>
          <w:b w:val="false"/>
          <w:color w:val="000000"/>
          <w:sz w:val="24"/>
          <w:u w:val="single"/>
        </w:rPr>
        <w:t>FATCA</w:t>
      </w:r>
      <w:r>
        <w:rPr>
          <w:rFonts w:ascii="Times New Roman;serif" w:hAnsi="Times New Roman;serif"/>
          <w:b w:val="false"/>
          <w:color w:val="000000"/>
          <w:sz w:val="24"/>
        </w:rPr>
        <w:t xml:space="preserve">. If a payment made to a Lender under any loan document would be subject to United States federal withholding tax imposed by FATCA if such Lender fails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any law, rule or regulation or in the interpretation or application thereof by any Governmental Authority (including as prescribed by section 1471(b)(3)(C)(i) of the Code) and such additional documentation reasonably requested by the Borrower or the Administrative Agent as may be necessary for the Borrower or the Administrative Agent to comply with its obligations under FATCA, to determine that such Lender has complied with such Lender’s obligations under FATCA or to determine the amount to deduct and withhold from such payment. Solely for purposes of this </w:t>
      </w:r>
      <w:r>
        <w:rPr>
          <w:rFonts w:ascii="Times New Roman;serif" w:hAnsi="Times New Roman;serif"/>
          <w:b w:val="false"/>
          <w:color w:val="000000"/>
          <w:sz w:val="24"/>
          <w:u w:val="single"/>
        </w:rPr>
        <w:t>Section 2.17(f)</w:t>
      </w:r>
      <w:r>
        <w:rPr>
          <w:rFonts w:ascii="Times New Roman;serif" w:hAnsi="Times New Roman;serif"/>
          <w:b w:val="false"/>
          <w:color w:val="000000"/>
          <w:sz w:val="24"/>
        </w:rPr>
        <w:t>, “FATCA” shall include any amendments made to FATCA after the date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(g)    </w:t>
      </w:r>
      <w:r>
        <w:rPr>
          <w:rFonts w:ascii="Times New Roman;serif" w:hAnsi="Times New Roman;serif"/>
          <w:b w:val="false"/>
          <w:color w:val="000000"/>
          <w:sz w:val="24"/>
          <w:u w:val="single"/>
        </w:rPr>
        <w:t>Treatment of Certain Refunds</w:t>
      </w:r>
      <w:r>
        <w:rPr>
          <w:rFonts w:ascii="Times New Roman;serif" w:hAnsi="Times New Roman;serif"/>
          <w:b w:val="false"/>
          <w:color w:val="000000"/>
          <w:sz w:val="24"/>
        </w:rPr>
        <w:t xml:space="preserve">. If the Administrative Agent or a Lender determines, in its sole discretion exercised in good faith, that it has received a refund of any Indemnified Taxes or Other Taxes as to which it has been indemnified by the Borrower or with respect to which the Borrower has paid additional amounts pursuant to this </w:t>
      </w:r>
      <w:r>
        <w:rPr>
          <w:rFonts w:ascii="Times New Roman;serif" w:hAnsi="Times New Roman;serif"/>
          <w:b w:val="false"/>
          <w:color w:val="000000"/>
          <w:sz w:val="24"/>
          <w:u w:val="single"/>
        </w:rPr>
        <w:t>Section 2.17</w:t>
      </w:r>
      <w:r>
        <w:rPr>
          <w:rFonts w:ascii="Times New Roman;serif" w:hAnsi="Times New Roman;serif"/>
          <w:b w:val="false"/>
          <w:color w:val="000000"/>
          <w:sz w:val="24"/>
        </w:rPr>
        <w:t xml:space="preserve">, it shall pay to the Borrower an amount equal to such refund (but only to the extent of indemnity payments made, or additional amounts paid, by the Borrower under this </w:t>
      </w:r>
      <w:r>
        <w:rPr>
          <w:rFonts w:ascii="Times New Roman;serif" w:hAnsi="Times New Roman;serif"/>
          <w:b w:val="false"/>
          <w:color w:val="000000"/>
          <w:sz w:val="24"/>
          <w:u w:val="single"/>
        </w:rPr>
        <w:t>Section 2.17</w:t>
      </w:r>
      <w:r>
        <w:rPr>
          <w:color w:val="000000"/>
        </w:rPr>
        <w:t xml:space="preserve"> </w:t>
      </w:r>
      <w:r>
        <w:rPr>
          <w:rFonts w:ascii="Times New Roman;serif" w:hAnsi="Times New Roman;serif"/>
          <w:b w:val="false"/>
          <w:color w:val="000000"/>
          <w:sz w:val="24"/>
        </w:rPr>
        <w:t xml:space="preserve">with respect to the Indemnified Taxes or Other Taxes giving rise to such refund), net of all out-of-pocket expenses of the Administrative Agent or such Lender, as the case may be, and without interest (other than any interest paid by the relevant Governmental Authority with respect to such refund);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the Borrower, upon the request of the Administrative Agent or such Lender, agrees to repay the amount paid over to the Borrower (plus any penalties, interest or other charges imposed by the relevant Governmental Authority) to the Administrative Agent or such Lender in the event the Administrative Agent or such Lender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serif" w:hAnsi="Times New Roman;serif"/>
          <w:b w:val="false"/>
          <w:color w:val="000000"/>
          <w:sz w:val="24"/>
          <w:u w:val="single"/>
        </w:rPr>
        <w:t>Section 2.17</w:t>
      </w:r>
      <w:r>
        <w:rPr>
          <w:color w:val="000000"/>
        </w:rPr>
        <w:t xml:space="preserve"> </w:t>
      </w:r>
      <w:r>
        <w:rPr>
          <w:rFonts w:ascii="Times New Roman;serif" w:hAnsi="Times New Roman;serif"/>
          <w:b w:val="false"/>
          <w:color w:val="000000"/>
          <w:sz w:val="24"/>
        </w:rPr>
        <w:t>shall not be construed to require the Administrative Agent or any Lender to make available its tax returns (or any other information relating to its taxes that it deems confidential) to the Borrower or any other Person.</w:t>
      </w:r>
    </w:p>
    <w:p>
      <w:pPr>
        <w:pStyle w:val="TextBody"/>
        <w:bidi w:val="0"/>
        <w:spacing w:before="0" w:after="0"/>
        <w:jc w:val="both"/>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(h)    Except for a request by the Borrower under </w:t>
      </w:r>
      <w:r>
        <w:rPr>
          <w:rFonts w:ascii="Times New Roman;serif" w:hAnsi="Times New Roman;serif"/>
          <w:b w:val="false"/>
          <w:color w:val="000000"/>
          <w:sz w:val="24"/>
          <w:u w:val="single"/>
        </w:rPr>
        <w:t>Section 2.19(b)</w:t>
      </w:r>
      <w:r>
        <w:rPr>
          <w:rFonts w:ascii="Times New Roman;serif" w:hAnsi="Times New Roman;serif"/>
          <w:b w:val="false"/>
          <w:color w:val="000000"/>
          <w:sz w:val="24"/>
        </w:rPr>
        <w:t xml:space="preserve">, no Foreign Lender shall be entitled to the benefits of </w:t>
      </w:r>
      <w:r>
        <w:rPr>
          <w:rFonts w:ascii="Times New Roman;serif" w:hAnsi="Times New Roman;serif"/>
          <w:b w:val="false"/>
          <w:color w:val="000000"/>
          <w:sz w:val="24"/>
          <w:u w:val="single"/>
        </w:rPr>
        <w:t>Sections 2.17(a)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2.17(c)</w:t>
      </w:r>
      <w:r>
        <w:rPr>
          <w:color w:val="000000"/>
        </w:rPr>
        <w:t xml:space="preserve"> </w:t>
      </w:r>
      <w:r>
        <w:rPr>
          <w:rFonts w:ascii="Times New Roman;serif" w:hAnsi="Times New Roman;serif"/>
          <w:b w:val="false"/>
          <w:color w:val="000000"/>
          <w:sz w:val="24"/>
        </w:rPr>
        <w:t>if withholding tax is imposed on amounts payable to such Foreign Lender at the time such Foreign Lender becomes a party to this Agreement or designates a new lending office.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2.18. </w:t>
      </w:r>
      <w:r>
        <w:rPr>
          <w:rFonts w:ascii="Times New Roman;serif" w:hAnsi="Times New Roman;serif"/>
          <w:b w:val="false"/>
          <w:color w:val="000000"/>
          <w:sz w:val="24"/>
          <w:u w:val="single"/>
        </w:rPr>
        <w:t>Payments Generally; Pro Rata Treatment; Sharing of Set-offs</w:t>
      </w:r>
      <w:r>
        <w:rPr>
          <w:rFonts w:ascii="Times New Roman;serif" w:hAnsi="Times New Roman;serif"/>
          <w:b w:val="false"/>
          <w:color w:val="000000"/>
          <w:sz w:val="24"/>
        </w:rPr>
        <w:t xml:space="preserve">. (a)  The Borrower shall make each payment required to be made by it hereunder (whether of principal, interest or fees, or of amounts payable under </w:t>
      </w:r>
      <w:r>
        <w:rPr>
          <w:rFonts w:ascii="Times New Roman;serif" w:hAnsi="Times New Roman;serif"/>
          <w:b w:val="false"/>
          <w:color w:val="000000"/>
          <w:sz w:val="24"/>
          <w:u w:val="single"/>
        </w:rPr>
        <w:t>Section 2.15</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2.16</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2.17</w:t>
      </w:r>
      <w:r>
        <w:rPr>
          <w:rFonts w:ascii="Times New Roman;serif" w:hAnsi="Times New Roman;serif"/>
          <w:b w:val="false"/>
          <w:color w:val="000000"/>
          <w:sz w:val="24"/>
        </w:rPr>
        <w:t xml:space="preserve">, or otherwise) prior to 1:00 p.m., New York City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offices in New York, New York at such payment account as designated by Administrative Agent, except that payments pursuant to </w:t>
      </w:r>
      <w:r>
        <w:rPr>
          <w:rFonts w:ascii="Times New Roman;serif" w:hAnsi="Times New Roman;serif"/>
          <w:b w:val="false"/>
          <w:color w:val="000000"/>
          <w:sz w:val="24"/>
          <w:u w:val="single"/>
        </w:rPr>
        <w:t>Sections 2.15</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2.16</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2.17</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9.03</w:t>
      </w:r>
      <w:r>
        <w:rPr>
          <w:color w:val="000000"/>
        </w:rPr>
        <w:t xml:space="preserve"> </w:t>
      </w:r>
      <w:r>
        <w:rPr>
          <w:rFonts w:ascii="Times New Roman;serif" w:hAnsi="Times New Roman;serif"/>
          <w:b w:val="false"/>
          <w:color w:val="000000"/>
          <w:sz w:val="24"/>
        </w:rPr>
        <w:t xml:space="preserve">shall be made directly to the Persons entitled thereto;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if any Lender shall become a Defaulting Lender, from and after the date upon which such Lender shall have become a Defaulting Lender, any payment made on account of principal of or interest on the Loans shall be applied as set forth in </w:t>
      </w:r>
      <w:r>
        <w:rPr>
          <w:rFonts w:ascii="Times New Roman;serif" w:hAnsi="Times New Roman;serif"/>
          <w:b w:val="false"/>
          <w:color w:val="000000"/>
          <w:sz w:val="24"/>
          <w:u w:val="single"/>
        </w:rPr>
        <w:t>Section 2.21(a)(ii)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that the application of such payments in accordance herewith shall not constitute an Event of Default or a Default, and no payment of principal of or interest on the Loans of such Defaulting Lender shall be considered to be overdue, if, had such payments been applied without regard hereto, no such Event of Default or Default would have occurred and no such payment of principal of or interest on the Loans of such Defaulting Lender would have been overdue.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If at any time insufficient funds are received by and available to the Administrative Agent to pay fully all amounts of principal, interest and fees then due hereunder, such funds shall be applied (i) first, towards payment of interest and fees then due hereunder, ratably among the parties entitled thereto in accordance with the amounts of interest and fees then due to such parties, and (ii) second, towards payment of principal then due hereunder, ratably among the parties entitled thereto in accordance with the amounts of principal then due to such parties.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(c)    If any Lender shall, by exercising any right of set-off or counterclaim or otherwise, obtain payment in respect of any principal of or interest on any of its Loans resulting in such Lender receiving payment of a greater proportion of the aggregate amount of its Loans and accrued interest thereon than the proportion received by any other Lender, then the Lender receiving such greater proportion shall purchase (for cash at face value) participations in the Loans of other Lenders to the extent necessary so that the benefit of all such payments shall be shared by the Lenders ratably in accordance with the aggregate amount of principal of and accrued interest on their respective Loans;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that</w:t>
      </w:r>
      <w:r>
        <w:rPr>
          <w:color w:val="000000"/>
        </w:rPr>
        <w:t xml:space="preserve"> </w:t>
      </w:r>
      <w:r>
        <w:rPr>
          <w:rFonts w:ascii="Times New Roman;serif" w:hAnsi="Times New Roman;serif"/>
          <w:b w:val="false"/>
          <w:color w:val="000000"/>
          <w:sz w:val="24"/>
        </w:rPr>
        <w:t xml:space="preserve">(i)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w:t>
      </w:r>
    </w:p>
    <w:p>
      <w:pPr>
        <w:pStyle w:val="TextBody"/>
        <w:bidi w:val="0"/>
        <w:spacing w:before="0" w:after="0"/>
        <w:jc w:val="both"/>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payment made by the Borrower pursuant to and in accordance with the express terms of this Agreement or any payment obtained by a Lender as consideration for the assignment of or sale of a participation in any of its Loans to any assignee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Unless the Administrative Agent shall have received notice from the Borrower prior to the date on which any payment is due to the Administrative Agent for the account of the Lenders hereunder that the Borrower will not make such payment, the Administrative Agent may assume that the Borrower has made such payment on such date in accordance herewith and may, in reliance upon such assumption, distribute to the Lenders the amount due. In such event, if the Borrower has not in fact made such payment, then each of the Lenders severally agrees to repay to the Administrative Agent forthwith on demand the amount so distributed to such Lender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(e)    If any Lender shall fail to make any payment required to be made by it pursuant to </w:t>
      </w:r>
      <w:r>
        <w:rPr>
          <w:rFonts w:ascii="Times New Roman;serif" w:hAnsi="Times New Roman;serif"/>
          <w:b w:val="false"/>
          <w:color w:val="000000"/>
          <w:sz w:val="24"/>
          <w:u w:val="single"/>
        </w:rPr>
        <w:t>Section 2.07(b)</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2.18(d)</w:t>
      </w:r>
      <w:r>
        <w:rPr>
          <w:rFonts w:ascii="Times New Roman;serif" w:hAnsi="Times New Roman;serif"/>
          <w:b w:val="false"/>
          <w:color w:val="000000"/>
          <w:sz w:val="24"/>
        </w:rPr>
        <w:t xml:space="preserve">,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2.19. </w:t>
      </w:r>
      <w:r>
        <w:rPr>
          <w:rFonts w:ascii="Times New Roman;serif" w:hAnsi="Times New Roman;serif"/>
          <w:b w:val="false"/>
          <w:color w:val="000000"/>
          <w:sz w:val="24"/>
          <w:u w:val="single"/>
        </w:rPr>
        <w:t>Mitigation Obligations; Replacement of Lenders</w:t>
      </w:r>
      <w:r>
        <w:rPr>
          <w:rFonts w:ascii="Times New Roman;serif" w:hAnsi="Times New Roman;serif"/>
          <w:b w:val="false"/>
          <w:color w:val="000000"/>
          <w:sz w:val="24"/>
        </w:rPr>
        <w:t xml:space="preserve">. (a)  If any Lender requests compensation under </w:t>
      </w:r>
      <w:r>
        <w:rPr>
          <w:rFonts w:ascii="Times New Roman;serif" w:hAnsi="Times New Roman;serif"/>
          <w:b w:val="false"/>
          <w:color w:val="000000"/>
          <w:sz w:val="24"/>
          <w:u w:val="single"/>
        </w:rPr>
        <w:t>Section 2.15</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2.13(f)</w:t>
      </w:r>
      <w:r>
        <w:rPr>
          <w:rFonts w:ascii="Times New Roman;serif" w:hAnsi="Times New Roman;serif"/>
          <w:b w:val="false"/>
          <w:color w:val="000000"/>
          <w:sz w:val="24"/>
        </w:rPr>
        <w:t xml:space="preserve">, or if the Borrower is required to pay any additional amount to any Lender or any Governmental Authority for the account of any Lender pursuant to </w:t>
      </w:r>
      <w:r>
        <w:rPr>
          <w:rFonts w:ascii="Times New Roman;serif" w:hAnsi="Times New Roman;serif"/>
          <w:b w:val="false"/>
          <w:color w:val="000000"/>
          <w:sz w:val="24"/>
          <w:u w:val="single"/>
        </w:rPr>
        <w:t>Section 2.17</w:t>
      </w:r>
      <w:r>
        <w:rPr>
          <w:rFonts w:ascii="Times New Roman;serif" w:hAnsi="Times New Roman;serif"/>
          <w:b w:val="false"/>
          <w:color w:val="000000"/>
          <w:sz w:val="24"/>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serif" w:hAnsi="Times New Roman;serif"/>
          <w:b w:val="false"/>
          <w:color w:val="000000"/>
          <w:sz w:val="24"/>
          <w:u w:val="single"/>
        </w:rPr>
        <w:t>Section 2.13(f)</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2.15</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2.17</w:t>
      </w:r>
      <w:r>
        <w:rPr>
          <w:rFonts w:ascii="Times New Roman;serif" w:hAnsi="Times New Roman;serif"/>
          <w:b w:val="false"/>
          <w:color w:val="000000"/>
          <w:sz w:val="24"/>
        </w:rPr>
        <w:t>,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 Subject to the foregoing, Lenders agree to use reasonable efforts to select lending offices which will minimize taxes and other costs and expenses for the Borrower.</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    If any Lender requests compensation under </w:t>
      </w:r>
      <w:r>
        <w:rPr>
          <w:rFonts w:ascii="Times New Roman;serif" w:hAnsi="Times New Roman;serif"/>
          <w:b w:val="false"/>
          <w:color w:val="000000"/>
          <w:sz w:val="24"/>
          <w:u w:val="single"/>
        </w:rPr>
        <w:t>Section 2.13(f)</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2.15</w:t>
      </w:r>
      <w:r>
        <w:rPr>
          <w:rFonts w:ascii="Times New Roman;serif" w:hAnsi="Times New Roman;serif"/>
          <w:b w:val="false"/>
          <w:color w:val="000000"/>
          <w:sz w:val="24"/>
        </w:rPr>
        <w:t xml:space="preserve">, or if the Borrower is required to pay any additional amount to any Lender or any Governmental Authority for the account of any Lender pursuant to </w:t>
      </w:r>
      <w:r>
        <w:rPr>
          <w:rFonts w:ascii="Times New Roman;serif" w:hAnsi="Times New Roman;serif"/>
          <w:b w:val="false"/>
          <w:color w:val="000000"/>
          <w:sz w:val="24"/>
          <w:u w:val="single"/>
        </w:rPr>
        <w:t>Section 2.17</w:t>
      </w:r>
      <w:r>
        <w:rPr>
          <w:rFonts w:ascii="Times New Roman;serif" w:hAnsi="Times New Roman;serif"/>
          <w:b w:val="false"/>
          <w:color w:val="000000"/>
          <w:sz w:val="24"/>
        </w:rPr>
        <w:t xml:space="preserve">, or if any Lender is a Defaulting Lender, then the Borrower may, at its sole expense and effort, upon notice to such Lender and the Administrative Agent, require such Lender to assign and delegate, without recourse (in accordance with and subject to the restrictions contained in </w:t>
      </w:r>
      <w:r>
        <w:rPr>
          <w:rFonts w:ascii="Times New Roman;serif" w:hAnsi="Times New Roman;serif"/>
          <w:b w:val="false"/>
          <w:color w:val="000000"/>
          <w:sz w:val="24"/>
          <w:u w:val="single"/>
        </w:rPr>
        <w:t>Section 9.04</w:t>
      </w:r>
      <w:r>
        <w:rPr>
          <w:rFonts w:ascii="Times New Roman;serif" w:hAnsi="Times New Roman;serif"/>
          <w:b w:val="false"/>
          <w:color w:val="000000"/>
          <w:sz w:val="24"/>
        </w:rPr>
        <w:t xml:space="preserve">), all its </w:t>
      </w:r>
    </w:p>
    <w:p>
      <w:pPr>
        <w:pStyle w:val="TextBody"/>
        <w:bidi w:val="0"/>
        <w:spacing w:before="0" w:after="0"/>
        <w:jc w:val="both"/>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interests, rights and obligations under this Agreement to an assignee that shall assume such obligations at par (which assignee may be another Lender, if a Lender accepts such assignment);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that</w:t>
      </w:r>
      <w:r>
        <w:rPr>
          <w:color w:val="000000"/>
        </w:rPr>
        <w:t xml:space="preserve"> </w:t>
      </w:r>
      <w:r>
        <w:rPr>
          <w:rFonts w:ascii="Times New Roman;serif" w:hAnsi="Times New Roman;serif"/>
          <w:b w:val="false"/>
          <w:color w:val="000000"/>
          <w:sz w:val="24"/>
        </w:rPr>
        <w:t xml:space="preserve">(i) the Borrower shall have received the prior written consent of the Administrative Agent, which consent shall not unreasonably be withheld, (ii) such Lender shall have received payment of an amount equal to the outstanding principal of its Loans, accrued interest thereon, accrued fees and all other amounts payable to it hereunder, from the assignee (to the extent of such outstanding principal and accrued interest and fees) or the Borrower (in the case of all other amounts) and (iii) in the case of any such assignment resulting from a claim for compensation under </w:t>
      </w:r>
      <w:r>
        <w:rPr>
          <w:rFonts w:ascii="Times New Roman;serif" w:hAnsi="Times New Roman;serif"/>
          <w:b w:val="false"/>
          <w:color w:val="000000"/>
          <w:sz w:val="24"/>
          <w:u w:val="single"/>
        </w:rPr>
        <w:t>Section 2.13(f)</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2.15</w:t>
      </w:r>
      <w:r>
        <w:rPr>
          <w:color w:val="000000"/>
        </w:rPr>
        <w:t xml:space="preserve"> </w:t>
      </w:r>
      <w:r>
        <w:rPr>
          <w:rFonts w:ascii="Times New Roman;serif" w:hAnsi="Times New Roman;serif"/>
          <w:b w:val="false"/>
          <w:color w:val="000000"/>
          <w:sz w:val="24"/>
        </w:rPr>
        <w:t xml:space="preserve">or payments required to be made pursuant to </w:t>
      </w:r>
      <w:r>
        <w:rPr>
          <w:rFonts w:ascii="Times New Roman;serif" w:hAnsi="Times New Roman;serif"/>
          <w:b w:val="false"/>
          <w:color w:val="000000"/>
          <w:sz w:val="24"/>
          <w:u w:val="single"/>
        </w:rPr>
        <w:t>Section 2.17</w:t>
      </w:r>
      <w:r>
        <w:rPr>
          <w:rFonts w:ascii="Times New Roman;serif" w:hAnsi="Times New Roman;serif"/>
          <w:b w:val="false"/>
          <w:color w:val="000000"/>
          <w:sz w:val="24"/>
        </w:rPr>
        <w:t xml:space="preserve">, such assignment will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 If any Lender refuses to assign and delegate all its interests, rights and obligations under this Agreement after the Borrower has required such Lender to do so as a result of a claim for compensation under </w:t>
      </w:r>
      <w:r>
        <w:rPr>
          <w:rFonts w:ascii="Times New Roman;serif" w:hAnsi="Times New Roman;serif"/>
          <w:b w:val="false"/>
          <w:color w:val="000000"/>
          <w:sz w:val="24"/>
          <w:u w:val="single"/>
        </w:rPr>
        <w:t>Section 2.13(f)</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2.15</w:t>
      </w:r>
      <w:r>
        <w:rPr>
          <w:color w:val="000000"/>
        </w:rPr>
        <w:t xml:space="preserve"> </w:t>
      </w:r>
      <w:r>
        <w:rPr>
          <w:rFonts w:ascii="Times New Roman;serif" w:hAnsi="Times New Roman;serif"/>
          <w:b w:val="false"/>
          <w:color w:val="000000"/>
          <w:sz w:val="24"/>
        </w:rPr>
        <w:t xml:space="preserve">or payments required to be made pursuant to </w:t>
      </w:r>
      <w:r>
        <w:rPr>
          <w:rFonts w:ascii="Times New Roman;serif" w:hAnsi="Times New Roman;serif"/>
          <w:b w:val="false"/>
          <w:color w:val="000000"/>
          <w:sz w:val="24"/>
          <w:u w:val="single"/>
        </w:rPr>
        <w:t>Section 2.17</w:t>
      </w:r>
      <w:r>
        <w:rPr>
          <w:rFonts w:ascii="Times New Roman;serif" w:hAnsi="Times New Roman;serif"/>
          <w:b w:val="false"/>
          <w:color w:val="000000"/>
          <w:sz w:val="24"/>
        </w:rPr>
        <w:t>, such Lender shall not be entitled to receive such compensation or required payments.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2.20. </w:t>
      </w:r>
      <w:r>
        <w:rPr>
          <w:rFonts w:ascii="Times New Roman;serif" w:hAnsi="Times New Roman;serif"/>
          <w:b w:val="false"/>
          <w:color w:val="000000"/>
          <w:sz w:val="24"/>
          <w:u w:val="single"/>
        </w:rPr>
        <w:t>Separateness</w:t>
      </w:r>
      <w:r>
        <w:rPr>
          <w:rFonts w:ascii="Times New Roman;serif" w:hAnsi="Times New Roman;serif"/>
          <w:b w:val="false"/>
          <w:color w:val="000000"/>
          <w:sz w:val="24"/>
        </w:rPr>
        <w:t>. The Lenders acknowledge and affirm (i) their reliance on the separateness of EPD, Enterprise GP, Borrower and Manager from each other and from other Persons, including EPCO, EPCO Holdings, Inc. (“Finco”), Duncan Family Interests, Inc. (“DFI”), DFI GP Holdings L.P. (“DFI GP”) and DFI Holdings, LLC (“DFI Holdings”), (ii) that other creditors of the Borrower, Manager, EPD or Enterprise GP have likely advanced funds to such Persons in reliance upon the separateness of the Borrower, Manager, EPD and Enterprise GP from each other and from other Persons, including EPCO, Finco, DFI, DFI GP and DFI Holdings, (iii) that each of the Borrower, Manager, EPD and Enterprise GP have assets and liabilities that are separate from those of each other and from other Persons, including EPCO, Finco, DFI, DFI GP and DFI Holdings, (iv) that the Loans and other obligations owing under this Agreement, the Notes and documents related hereto or thereto have not been guaranteed by Manager, Enterprise GP, EPCO, Finco, DFI, DFI GP or DFI Holdings, and (v) that, except as other Persons may expressly assume or guarantee this Agreement, the Notes or any documents related hereto or thereto or any of the Loans or other obligations thereunder, the Lenders shall look solely to the Borrower and, pursuant to the EPD Guaranty Agreement, EPD, and their respective property and assets, and any property pledged as collateral with respect hereto or thereto, for the repayment of any amounts payable pursuant hereto or thereto and for satisfaction of any obligations owing to the Lenders hereunder or thereunder and that neither Enterprise GP nor Manager is personally liable to the Lenders for any amounts payable or any liability hereunder or thereunder.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2.21. </w:t>
      </w:r>
      <w:r>
        <w:rPr>
          <w:rFonts w:ascii="Times New Roman;serif" w:hAnsi="Times New Roman;serif"/>
          <w:b w:val="false"/>
          <w:color w:val="000000"/>
          <w:sz w:val="24"/>
          <w:u w:val="single"/>
        </w:rPr>
        <w:t>Defaulting Lenders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Adjustments</w:t>
      </w:r>
      <w:r>
        <w:rPr>
          <w:rFonts w:ascii="Times New Roman;serif" w:hAnsi="Times New Roman;serif"/>
          <w:b w:val="false"/>
          <w:color w:val="000000"/>
          <w:sz w:val="24"/>
        </w:rPr>
        <w:t>. Notwithstanding anything to the contrary contained in this Agreement, if any Lender becomes a Defaulting Lender, then, until such time as that Lender is no longer a Defaulting Lender, to the extent permitted by applicable law:</w:t>
      </w:r>
    </w:p>
    <w:p>
      <w:pPr>
        <w:pStyle w:val="TextBody"/>
        <w:bidi w:val="0"/>
        <w:spacing w:lineRule="auto" w:line="288" w:before="0" w:after="240"/>
        <w:ind w:left="0" w:right="0" w:firstLine="72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Waivers and Amendments</w:t>
      </w:r>
      <w:r>
        <w:rPr>
          <w:rFonts w:ascii="Times New Roman;serif" w:hAnsi="Times New Roman;serif"/>
          <w:b w:val="false"/>
          <w:color w:val="000000"/>
          <w:sz w:val="24"/>
        </w:rPr>
        <w:t xml:space="preserve">. That Defaulting Lender’s right to approve or disapprove any amendment, waiver or consent with respect to this Agreement shall be restricted as set forth in </w:t>
      </w:r>
      <w:r>
        <w:rPr>
          <w:rFonts w:ascii="Times New Roman;serif" w:hAnsi="Times New Roman;serif"/>
          <w:b w:val="false"/>
          <w:color w:val="000000"/>
          <w:sz w:val="24"/>
          <w:u w:val="single"/>
        </w:rPr>
        <w:t>Section 9.02(b)</w:t>
      </w:r>
      <w:r>
        <w:rPr>
          <w:rFonts w:ascii="Times New Roman;serif" w:hAnsi="Times New Roman;serif"/>
          <w:b w:val="false"/>
          <w:color w:val="000000"/>
          <w:sz w:val="24"/>
        </w:rPr>
        <w:t>.</w:t>
      </w:r>
    </w:p>
    <w:p>
      <w:pPr>
        <w:pStyle w:val="TextBody"/>
        <w:bidi w:val="0"/>
        <w:spacing w:before="0" w:after="0"/>
        <w:jc w:val="both"/>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(ii)    </w:t>
      </w:r>
      <w:r>
        <w:rPr>
          <w:rFonts w:ascii="Times New Roman;serif" w:hAnsi="Times New Roman;serif"/>
          <w:b w:val="false"/>
          <w:color w:val="000000"/>
          <w:sz w:val="24"/>
          <w:u w:val="single"/>
        </w:rPr>
        <w:t>Reallocation of Payments</w:t>
      </w:r>
      <w:r>
        <w:rPr>
          <w:rFonts w:ascii="Times New Roman;serif" w:hAnsi="Times New Roman;serif"/>
          <w:b w:val="false"/>
          <w:color w:val="000000"/>
          <w:sz w:val="24"/>
        </w:rPr>
        <w:t xml:space="preserve">. Any payment of principal, interest, fees or other amounts received by the Administrative Agent for the account of that Defaulting Lender (whether voluntary or mandatory, at maturity, pursuant to </w:t>
      </w:r>
      <w:r>
        <w:rPr>
          <w:rFonts w:ascii="Times New Roman;serif" w:hAnsi="Times New Roman;serif"/>
          <w:b w:val="false"/>
          <w:color w:val="000000"/>
          <w:sz w:val="24"/>
          <w:u w:val="single"/>
        </w:rPr>
        <w:t>Article VII</w:t>
      </w:r>
      <w:r>
        <w:rPr>
          <w:color w:val="000000"/>
        </w:rPr>
        <w:t xml:space="preserve"> </w:t>
      </w:r>
      <w:r>
        <w:rPr>
          <w:rFonts w:ascii="Times New Roman;serif" w:hAnsi="Times New Roman;serif"/>
          <w:b w:val="false"/>
          <w:color w:val="000000"/>
          <w:sz w:val="24"/>
        </w:rPr>
        <w:t xml:space="preserve">or otherwise, and including any amounts made available to the Administrative Agent by that Defaulting Lender pursuant to </w:t>
      </w:r>
      <w:r>
        <w:rPr>
          <w:rFonts w:ascii="Times New Roman;serif" w:hAnsi="Times New Roman;serif"/>
          <w:b w:val="false"/>
          <w:color w:val="000000"/>
          <w:sz w:val="24"/>
          <w:u w:val="single"/>
        </w:rPr>
        <w:t>Section 9.08</w:t>
      </w:r>
      <w:r>
        <w:rPr>
          <w:rFonts w:ascii="Times New Roman;serif" w:hAnsi="Times New Roman;serif"/>
          <w:b w:val="false"/>
          <w:color w:val="000000"/>
          <w:sz w:val="24"/>
        </w:rPr>
        <w:t xml:space="preserve">), shall be applied at such time or times as may be determined by the Administrative Agent as follows: </w:t>
      </w:r>
      <w:r>
        <w:rPr>
          <w:rFonts w:ascii="Times New Roman;serif" w:hAnsi="Times New Roman;serif"/>
          <w:b w:val="false"/>
          <w:i/>
          <w:color w:val="000000"/>
          <w:sz w:val="24"/>
        </w:rPr>
        <w:t>first</w:t>
      </w:r>
      <w:r>
        <w:rPr>
          <w:rFonts w:ascii="Times New Roman;serif" w:hAnsi="Times New Roman;serif"/>
          <w:b w:val="false"/>
          <w:color w:val="000000"/>
          <w:sz w:val="24"/>
        </w:rPr>
        <w:t xml:space="preserve">, to the payment of any amounts owing by that Defaulting Lender to the Administrative Agent hereunder; </w:t>
      </w:r>
      <w:r>
        <w:rPr>
          <w:rFonts w:ascii="Times New Roman;serif" w:hAnsi="Times New Roman;serif"/>
          <w:b w:val="false"/>
          <w:i/>
          <w:color w:val="000000"/>
          <w:sz w:val="24"/>
        </w:rPr>
        <w:t>second</w:t>
      </w:r>
      <w:r>
        <w:rPr>
          <w:rFonts w:ascii="Times New Roman;serif" w:hAnsi="Times New Roman;serif"/>
          <w:b w:val="false"/>
          <w:color w:val="000000"/>
          <w:sz w:val="24"/>
        </w:rPr>
        <w:t xml:space="preserve">, as the Borrower may request (so long as no Default or Event of Default exists), to the funding of any Loan in respect of which that Defaulting Lender has failed to fund its portion thereof as required by this Agreement, as determined by the Administrative Agent; </w:t>
      </w:r>
      <w:r>
        <w:rPr>
          <w:rFonts w:ascii="Times New Roman;serif" w:hAnsi="Times New Roman;serif"/>
          <w:b w:val="false"/>
          <w:i/>
          <w:color w:val="000000"/>
          <w:sz w:val="24"/>
        </w:rPr>
        <w:t>third</w:t>
      </w:r>
      <w:r>
        <w:rPr>
          <w:rFonts w:ascii="Times New Roman;serif" w:hAnsi="Times New Roman;serif"/>
          <w:b w:val="false"/>
          <w:color w:val="000000"/>
          <w:sz w:val="24"/>
        </w:rPr>
        <w:t xml:space="preserve">, if so determined by the Administrative Agent and the Borrower, to be held in a non-interest bearing deposit account and released in order to satisfy obligations of that Defaulting Lender to fund Loans under this Agreement; </w:t>
      </w:r>
      <w:r>
        <w:rPr>
          <w:rFonts w:ascii="Times New Roman;serif" w:hAnsi="Times New Roman;serif"/>
          <w:b w:val="false"/>
          <w:i/>
          <w:color w:val="000000"/>
          <w:sz w:val="24"/>
        </w:rPr>
        <w:t>fourth</w:t>
      </w:r>
      <w:r>
        <w:rPr>
          <w:rFonts w:ascii="Times New Roman;serif" w:hAnsi="Times New Roman;serif"/>
          <w:b w:val="false"/>
          <w:color w:val="000000"/>
          <w:sz w:val="24"/>
        </w:rPr>
        <w:t xml:space="preserve">, to the payment of any amounts then owing to the Lenders as a result of any judgment of a court of competent jurisdiction obtained by any Lender against that Defaulting Lender as a result of that Defaulting Lender’s breach of its obligations under this Agreement; </w:t>
      </w:r>
      <w:r>
        <w:rPr>
          <w:rFonts w:ascii="Times New Roman;serif" w:hAnsi="Times New Roman;serif"/>
          <w:b w:val="false"/>
          <w:i/>
          <w:color w:val="000000"/>
          <w:sz w:val="24"/>
        </w:rPr>
        <w:t>fifth</w:t>
      </w:r>
      <w:r>
        <w:rPr>
          <w:rFonts w:ascii="Times New Roman;serif" w:hAnsi="Times New Roman;serif"/>
          <w:b w:val="false"/>
          <w:color w:val="000000"/>
          <w:sz w:val="24"/>
        </w:rPr>
        <w:t xml:space="preserve">, so long as no Default or Event of Default exists, to the payment of any amounts then owing to the Borrower as a result of any judgment of a court of competent jurisdiction obtained by the Borrower against that Defaulting Lender as a result of that Defaulting Lender’s breach of its obligations under this Agreement; and </w:t>
      </w:r>
      <w:r>
        <w:rPr>
          <w:rFonts w:ascii="Times New Roman;serif" w:hAnsi="Times New Roman;serif"/>
          <w:b w:val="false"/>
          <w:i/>
          <w:color w:val="000000"/>
          <w:sz w:val="24"/>
        </w:rPr>
        <w:t>sixth</w:t>
      </w:r>
      <w:r>
        <w:rPr>
          <w:rFonts w:ascii="Times New Roman;serif" w:hAnsi="Times New Roman;serif"/>
          <w:b w:val="false"/>
          <w:color w:val="000000"/>
          <w:sz w:val="24"/>
        </w:rPr>
        <w:t xml:space="preserve">, to that Defaulting Lender or as otherwise directed by a court of competent jurisdiction;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if (x) such payment is a payment of the principal amount of any Loans in respect of which that Defaulting Lender has not fully funded its appropriate share and (y) such Loans were made at a time when the conditions set forth in </w:t>
      </w:r>
      <w:r>
        <w:rPr>
          <w:rFonts w:ascii="Times New Roman;serif" w:hAnsi="Times New Roman;serif"/>
          <w:b w:val="false"/>
          <w:color w:val="000000"/>
          <w:sz w:val="24"/>
          <w:u w:val="single"/>
        </w:rPr>
        <w:t xml:space="preserve">Section 4.02 </w:t>
      </w:r>
      <w:r>
        <w:rPr>
          <w:rFonts w:ascii="Times New Roman;serif" w:hAnsi="Times New Roman;serif"/>
          <w:b w:val="false"/>
          <w:color w:val="000000"/>
          <w:sz w:val="24"/>
        </w:rPr>
        <w:t>were satisfied or waived, such payment shall be applied solely to pay the Loans of all Non-Defaulting Lenders on a pro rata basis prior to being applied to the payment of any Loans of that Defaulting Lender. Any payments, prepayments or other amounts paid or payable to a Defaulting Lender that are applied (or held) to pay amounts owed by a Defaulting Lender shall be deemed paid to and redirected by that Defaulting Lender, and each Lender irrevocably consents hereto. Upon making any payment to the Administrative Agent for the account of a Defaulting Lender, the Borrower’s obligation to pay such amount to such Defaulting Lender shall be fully discharged and such Defaulting Lender shall have no recourse to the Borrower for the payment of such amount.</w:t>
      </w:r>
    </w:p>
    <w:p>
      <w:pPr>
        <w:pStyle w:val="TextBody"/>
        <w:bidi w:val="0"/>
        <w:spacing w:lineRule="auto" w:line="288" w:before="0" w:after="240"/>
        <w:ind w:left="0" w:right="0" w:firstLine="720"/>
        <w:jc w:val="both"/>
        <w:rPr/>
      </w:pPr>
      <w:r>
        <w:rPr>
          <w:rFonts w:ascii="Times New Roman;serif" w:hAnsi="Times New Roman;serif"/>
          <w:b w:val="false"/>
          <w:color w:val="000000"/>
          <w:sz w:val="24"/>
        </w:rPr>
        <w:t>(iii)    </w:t>
      </w:r>
      <w:r>
        <w:rPr>
          <w:rFonts w:ascii="Times New Roman;serif" w:hAnsi="Times New Roman;serif"/>
          <w:b w:val="false"/>
          <w:color w:val="000000"/>
          <w:sz w:val="24"/>
          <w:u w:val="single"/>
        </w:rPr>
        <w:t>Certain Fees</w:t>
      </w:r>
      <w:r>
        <w:rPr>
          <w:rFonts w:ascii="Times New Roman;serif" w:hAnsi="Times New Roman;serif"/>
          <w:b w:val="false"/>
          <w:color w:val="000000"/>
          <w:sz w:val="24"/>
        </w:rPr>
        <w:t>. That Defaulting Lender shall not be entitled to receive any facility fees with respect to its undrawn Commitment pursuant to Section 2.12(a) for any period during which that Lender is a Defaulting Lender (and the Borrower shall not be required to pay any such fee that otherwise would have been required to have been paid to that Defaulting Lender).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Defaulting Lender Cure</w:t>
      </w:r>
      <w:r>
        <w:rPr>
          <w:rFonts w:ascii="Times New Roman;serif" w:hAnsi="Times New Roman;serif"/>
          <w:b w:val="false"/>
          <w:color w:val="000000"/>
          <w:sz w:val="24"/>
        </w:rPr>
        <w:t xml:space="preserve">. If the Borrower and the Administrative Agent agree in writing in their sole discretion that a Lender is no longer a Defaulting Lender, the Administrative Agent will so notify the parties hereto, whereupon as of the effective date specified in such notice and subject to any conditions set forth therein, such Lender will, to the extent applicable, purchase at par such portion of outstanding Loans of the other Lenders and/or make such other adjustments as the Administrative Agent may determine to be necessary to cause the Exposure of the Lenders to be on a pro rata basis in accordance with their respective Commitments, whereupon such Lender will cease to be a Defaulting Lender and will be a Non-Defaulting </w:t>
      </w:r>
    </w:p>
    <w:p>
      <w:pPr>
        <w:pStyle w:val="TextBody"/>
        <w:bidi w:val="0"/>
        <w:spacing w:before="0" w:after="0"/>
        <w:jc w:val="both"/>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Lender (and such Exposure of each Lender will automatically be adjusted on a prospective basis to reflect the foregoing); provided that no adjustments will be made retroactively with respect to fees accrued or payments made by or on behalf of the Borrower while such Lender was a Defaulting Lender; and provided, further, that except to the extent otherwise expressly agreed by the affected parties, no change hereunder from Defaulting Lender to Non-Defaulting Lender will constitute a waiver or release of any claim of any party hereunder arising from such Lender’s having been a Defaulting Lender.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Termination of Defaulting Lender Commitment</w:t>
      </w:r>
      <w:r>
        <w:rPr>
          <w:rFonts w:ascii="Times New Roman;serif" w:hAnsi="Times New Roman;serif"/>
          <w:b w:val="false"/>
          <w:color w:val="000000"/>
          <w:sz w:val="24"/>
        </w:rPr>
        <w:t xml:space="preserve">. The Borrower may terminate the unused amount of the Commitment of a Defaulting Lender upon not less than five (5) Business Days’ prior notice to the Administrative Agent (which will promptly notify the Lenders thereof), and in such event the provisions of </w:t>
      </w:r>
      <w:r>
        <w:rPr>
          <w:rFonts w:ascii="Times New Roman;serif" w:hAnsi="Times New Roman;serif"/>
          <w:b w:val="false"/>
          <w:color w:val="000000"/>
          <w:sz w:val="24"/>
          <w:u w:val="single"/>
        </w:rPr>
        <w:t>Section 2.21(a)(ii)</w:t>
      </w:r>
      <w:r>
        <w:rPr>
          <w:color w:val="000000"/>
        </w:rPr>
        <w:t xml:space="preserve"> </w:t>
      </w:r>
      <w:r>
        <w:rPr>
          <w:rFonts w:ascii="Times New Roman;serif" w:hAnsi="Times New Roman;serif"/>
          <w:b w:val="false"/>
          <w:color w:val="000000"/>
          <w:sz w:val="24"/>
        </w:rPr>
        <w:t>will apply to all amounts thereafter paid by the Borrower for the account of such Defaulting Lender under this Agreement (whether on account of principal, interest, fees, indemnity or other amounts), provided that such termination will not be deemed to be a waiver or release of any claim the Borrower, the Administrative Agent or any Lender may have against such Defaulting Lender.</w:t>
      </w:r>
    </w:p>
    <w:p>
      <w:pPr>
        <w:pStyle w:val="TextBody"/>
        <w:bidi w:val="0"/>
        <w:spacing w:lineRule="auto" w:line="288" w:before="0" w:after="240"/>
        <w:jc w:val="center"/>
        <w:rPr/>
      </w:pPr>
      <w:r>
        <w:rPr>
          <w:rFonts w:ascii="Times New Roman;serif" w:hAnsi="Times New Roman;serif"/>
          <w:b w:val="false"/>
          <w:color w:val="000000"/>
          <w:sz w:val="24"/>
        </w:rPr>
        <w:t>ARTICLE III</w:t>
        <w:br/>
        <w:br/>
      </w:r>
      <w:r>
        <w:rPr>
          <w:rFonts w:ascii="Times New Roman;serif" w:hAnsi="Times New Roman;serif"/>
          <w:b w:val="false"/>
          <w:color w:val="000000"/>
          <w:sz w:val="24"/>
          <w:u w:val="single"/>
        </w:rPr>
        <w:t>Representations and Warranties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Borrower represents and warrants to the Lenders that: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3.01. </w:t>
      </w:r>
      <w:r>
        <w:rPr>
          <w:rFonts w:ascii="Times New Roman;serif" w:hAnsi="Times New Roman;serif"/>
          <w:b w:val="false"/>
          <w:color w:val="000000"/>
          <w:sz w:val="24"/>
          <w:u w:val="single"/>
        </w:rPr>
        <w:t>Organization; Powers</w:t>
      </w:r>
      <w:r>
        <w:rPr>
          <w:rFonts w:ascii="Times New Roman;serif" w:hAnsi="Times New Roman;serif"/>
          <w:b w:val="false"/>
          <w:color w:val="000000"/>
          <w:sz w:val="24"/>
        </w:rPr>
        <w:t xml:space="preserve">. Each of the Borrower and its Subsidiaries is duly formed, validly existing and (if applicable) in good standing (except, with respect to Subsidiaries other than Material Subsidiaries, where the failure to be in good standing, individually or in the aggregate, could not reasonably be expected to result in a Material Adverse Effect) under the laws of the jurisdiction of its organization, has all requisite power and authority to carry on its business in all material respects as now conducted and, except where the failure to do so, individually or in the aggregate, could not reasonably be expected to result in a Material Adverse Effect, is qualified to do business in, and (if applicable) is in good standing in, every jurisdiction where such qualification is required.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3.02. </w:t>
      </w:r>
      <w:r>
        <w:rPr>
          <w:rFonts w:ascii="Times New Roman;serif" w:hAnsi="Times New Roman;serif"/>
          <w:b w:val="false"/>
          <w:color w:val="000000"/>
          <w:sz w:val="24"/>
          <w:u w:val="single"/>
        </w:rPr>
        <w:t>Authorization; Enforceability</w:t>
      </w:r>
      <w:r>
        <w:rPr>
          <w:rFonts w:ascii="Times New Roman;serif" w:hAnsi="Times New Roman;serif"/>
          <w:b w:val="false"/>
          <w:color w:val="000000"/>
          <w:sz w:val="24"/>
        </w:rPr>
        <w:t>. The Transactions are within the Borrower’s limited liability company powers and have been duly authorized by all necessary limited liability company and, if required, member action. This Agreement has been duly executed and delivered by the Borrower and constitutes a legal, valid and binding obligation of the Borrower, enforceable against the Borrower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3.03. </w:t>
      </w:r>
      <w:r>
        <w:rPr>
          <w:rFonts w:ascii="Times New Roman;serif" w:hAnsi="Times New Roman;serif"/>
          <w:b w:val="false"/>
          <w:color w:val="000000"/>
          <w:sz w:val="24"/>
          <w:u w:val="single"/>
        </w:rPr>
        <w:t>Governmental Approvals; No Conflicts</w:t>
      </w:r>
      <w:r>
        <w:rPr>
          <w:rFonts w:ascii="Times New Roman;serif" w:hAnsi="Times New Roman;serif"/>
          <w:b w:val="false"/>
          <w:color w:val="000000"/>
          <w:sz w:val="24"/>
        </w:rPr>
        <w:t xml:space="preserve">. The Transactions (a) do not require any consent or approval of, registration or filing with, or any other action by, any Governmental Authority, except such as have been obtained or made and are in full force and effect as of the Effective Date, other than filings after the Effective Date in the ordinary course of business, (b) will not violate any law or regulation applicable to the Borrower or the limited liability company agreement, charter, by-laws or other organizational documents of the Borrower or any of its Subsidiaries or any order of any Governmental Authority to which the Borrower or </w:t>
      </w:r>
    </w:p>
    <w:p>
      <w:pPr>
        <w:pStyle w:val="TextBody"/>
        <w:bidi w:val="0"/>
        <w:spacing w:before="0" w:after="0"/>
        <w:jc w:val="both"/>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any of its Subsidiaries is subject, (c) will not violate or result in a default under any material indenture, agreement or other instrument binding upon the Borrower or any of its Subsidiaries or its assets, or give rise to a right thereunder to require any payment to be made by the Borrower or any of its Subsidiaries and (d) will not result in the creation or imposition of any Lien on any asset of the Borrower or any of its Subsidiaries that is prohibited hereby.</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3.04. </w:t>
      </w:r>
      <w:r>
        <w:rPr>
          <w:rFonts w:ascii="Times New Roman;serif" w:hAnsi="Times New Roman;serif"/>
          <w:b w:val="false"/>
          <w:color w:val="000000"/>
          <w:sz w:val="24"/>
          <w:u w:val="single"/>
        </w:rPr>
        <w:t>Financial Condition</w:t>
      </w:r>
      <w:r>
        <w:rPr>
          <w:rFonts w:ascii="Times New Roman;serif" w:hAnsi="Times New Roman;serif"/>
          <w:b w:val="false"/>
          <w:color w:val="000000"/>
          <w:sz w:val="24"/>
        </w:rPr>
        <w:t>. The Borrower has heretofore furnished to the Lenders the consolidated balance sheets of the Borrower and its consolidated Subsidiaries and the related consolidated statements of income, equity and cash flow of the Borrower and its consolidated Subsidiaries as of and for the fiscal year ended December 31, 2025, such consolidated financial statements audited by an independent accounting firm of national standing. Such financial statements present fairly, in all material respects, the financial position and results of operations and cash flows of the Borrower and its consolidated Subsidiaries as of such dates and for such periods in accordance with GAAP.</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3.05. </w:t>
      </w:r>
      <w:r>
        <w:rPr>
          <w:rFonts w:ascii="Times New Roman;serif" w:hAnsi="Times New Roman;serif"/>
          <w:b w:val="false"/>
          <w:color w:val="000000"/>
          <w:sz w:val="24"/>
          <w:u w:val="single"/>
        </w:rPr>
        <w:t>Litigation and Environmental Matters</w:t>
      </w:r>
      <w:r>
        <w:rPr>
          <w:rFonts w:ascii="Times New Roman;serif" w:hAnsi="Times New Roman;serif"/>
          <w:b w:val="false"/>
          <w:color w:val="000000"/>
          <w:sz w:val="24"/>
        </w:rPr>
        <w:t>. (a) There are no actions, suits or proceedings by or before any arbitrator or Governmental Authority pending against or, to the knowledge of the Borrower, threatened in writing against or affecting the Borrower or any of its Subsidiaries (i) as to which there is a reasonable possibility of an adverse determination and that, if adversely determined, could reasonably be expected, individually or in the aggregate, to result in a Material Adverse Effect (other than the Disclosed Matters) or (ii) that involve this Agreement or the Transactions.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Except for the Disclosed Matters and except with respect to any other matters that, individually or in the aggregate, could not reasonably be expected to result in a Material Adverse Effect, neither the Borrower nor any of its Subsidiaries (i) has failed to comply with any Environmental Law or to obtain, maintain or comply with any permit, license or other approval required under any Environmental Law, (ii) has become subject to any Environmental Liability, (iii) has received notice of any claim with respect to any Environmental Liability or (iv) knows of any basis for any Environmental Liability.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Since the date of this Agreement, there has been no change in the status of the Disclosed Matters that, individually or in the aggregate, has resulted in a Material Adverse Effect.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3.06. </w:t>
      </w:r>
      <w:r>
        <w:rPr>
          <w:rFonts w:ascii="Times New Roman;serif" w:hAnsi="Times New Roman;serif"/>
          <w:b w:val="false"/>
          <w:color w:val="000000"/>
          <w:sz w:val="24"/>
          <w:u w:val="single"/>
        </w:rPr>
        <w:t>Compliance with Laws</w:t>
      </w:r>
      <w:r>
        <w:rPr>
          <w:rFonts w:ascii="Times New Roman;serif" w:hAnsi="Times New Roman;serif"/>
          <w:b w:val="false"/>
          <w:color w:val="000000"/>
          <w:sz w:val="24"/>
        </w:rPr>
        <w:t>. Each of the Borrower and its Subsidiaries is in compliance with all laws, regulations and orders of any Governmental Authority applicable to it or its property, except where the failure to do so, individually or in the aggregate, could not reasonably be expected to result in a Material Adverse Effect. No Default has occurred and is continuing.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3.07. </w:t>
      </w:r>
      <w:r>
        <w:rPr>
          <w:rFonts w:ascii="Times New Roman;serif" w:hAnsi="Times New Roman;serif"/>
          <w:b w:val="false"/>
          <w:color w:val="000000"/>
          <w:sz w:val="24"/>
          <w:u w:val="single"/>
        </w:rPr>
        <w:t>Investment Company Status</w:t>
      </w:r>
      <w:r>
        <w:rPr>
          <w:rFonts w:ascii="Times New Roman;serif" w:hAnsi="Times New Roman;serif"/>
          <w:b w:val="false"/>
          <w:color w:val="000000"/>
          <w:sz w:val="24"/>
        </w:rPr>
        <w:t>. Neither the Borrower nor any of its Subsidiaries is an “investment company” as defined in, or subject to regulation under, the Investment Company Act of 1940.</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3.08. </w:t>
      </w:r>
      <w:r>
        <w:rPr>
          <w:rFonts w:ascii="Times New Roman;serif" w:hAnsi="Times New Roman;serif"/>
          <w:b w:val="false"/>
          <w:color w:val="000000"/>
          <w:sz w:val="24"/>
          <w:u w:val="single"/>
        </w:rPr>
        <w:t>Taxes</w:t>
      </w:r>
      <w:r>
        <w:rPr>
          <w:rFonts w:ascii="Times New Roman;serif" w:hAnsi="Times New Roman;serif"/>
          <w:b w:val="false"/>
          <w:color w:val="000000"/>
          <w:sz w:val="24"/>
        </w:rPr>
        <w:t xml:space="preserve">. Each of the Borrower and its Subsidiaries has timely filed or caused to be filed all Tax returns and reports required to have been filed and has paid or caused to be paid all Taxes required to have been paid by it, except (a) Taxes that are being contested in good faith by appropriate proceedings and for which the Borrower or such Subsidiary, as </w:t>
      </w:r>
    </w:p>
    <w:p>
      <w:pPr>
        <w:pStyle w:val="TextBody"/>
        <w:bidi w:val="0"/>
        <w:spacing w:before="0" w:after="0"/>
        <w:jc w:val="both"/>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applicable, has set aside on its books adequate reserves or (b) to the extent that the failure to do so could not reasonably be expected to result in a Material Adverse Effect.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3.09. </w:t>
      </w:r>
      <w:r>
        <w:rPr>
          <w:rFonts w:ascii="Times New Roman;serif" w:hAnsi="Times New Roman;serif"/>
          <w:b w:val="false"/>
          <w:color w:val="000000"/>
          <w:sz w:val="24"/>
          <w:u w:val="single"/>
        </w:rPr>
        <w:t>ERISA</w:t>
      </w:r>
      <w:r>
        <w:rPr>
          <w:rFonts w:ascii="Times New Roman;serif" w:hAnsi="Times New Roman;serif"/>
          <w:b w:val="false"/>
          <w:color w:val="000000"/>
          <w:sz w:val="24"/>
        </w:rPr>
        <w:t>. No ERISA Event has occurred or is reasonably expected to occur that, when taken together with all other such ERISA Events for which liability is reasonably expected to occur, could reasonably be expected to result in a Material Adverse Effect.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3.10. </w:t>
      </w:r>
      <w:r>
        <w:rPr>
          <w:rFonts w:ascii="Times New Roman;serif" w:hAnsi="Times New Roman;serif"/>
          <w:b w:val="false"/>
          <w:color w:val="000000"/>
          <w:sz w:val="24"/>
          <w:u w:val="single"/>
        </w:rPr>
        <w:t>Disclosure</w:t>
      </w:r>
      <w:r>
        <w:rPr>
          <w:rFonts w:ascii="Times New Roman;serif" w:hAnsi="Times New Roman;serif"/>
          <w:b w:val="false"/>
          <w:color w:val="000000"/>
          <w:sz w:val="24"/>
        </w:rPr>
        <w:t xml:space="preserve">. Neither the Information Memorandum nor any of the other reports, financial statements, certificates or other information furnished by or on behalf of the Borrower to the Administrative Agent or any Lender in connection with the negotiation of this Agreement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that</w:t>
      </w:r>
      <w:r>
        <w:rPr>
          <w:rFonts w:ascii="Times New Roman;serif" w:hAnsi="Times New Roman;serif"/>
          <w:b w:val="false"/>
          <w:color w:val="000000"/>
          <w:sz w:val="24"/>
        </w:rPr>
        <w:t>, with respect to projected financial information, the Borrower represents only that such information was prepared in good faith based upon assumptions believed to be reasonable at the time. As of the Effective Date, Borrower hereby certifies that the Borrower qualifies for an express exclusion to the “legal entity customer” definition under the Beneficial Ownership Regulation.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3.11. </w:t>
      </w:r>
      <w:r>
        <w:rPr>
          <w:rFonts w:ascii="Times New Roman;serif" w:hAnsi="Times New Roman;serif"/>
          <w:b w:val="false"/>
          <w:color w:val="000000"/>
          <w:sz w:val="24"/>
          <w:u w:val="single"/>
        </w:rPr>
        <w:t>Reserved</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3.12. </w:t>
      </w:r>
      <w:r>
        <w:rPr>
          <w:rFonts w:ascii="Times New Roman;serif" w:hAnsi="Times New Roman;serif"/>
          <w:b w:val="false"/>
          <w:color w:val="000000"/>
          <w:sz w:val="24"/>
          <w:u w:val="single"/>
        </w:rPr>
        <w:t>Margin Securities</w:t>
      </w:r>
      <w:r>
        <w:rPr>
          <w:rFonts w:ascii="Times New Roman;serif" w:hAnsi="Times New Roman;serif"/>
          <w:b w:val="false"/>
          <w:color w:val="000000"/>
          <w:sz w:val="24"/>
        </w:rPr>
        <w:t>. Neither the Borrower nor any Subsidiary is engaged principally, or as one of its important activities, in the business of extending credit for the purpose of purchasing or carrying margin stock (within the meaning of Regulations U or X of the Board of Governors of the Federal Reserve System), and no part of the proceeds of any Loan will be used to purchase or carry any margin stock in violation of said Regulations U or X or to extend credit to others for the purpose of purchasing or carrying margin stock in violation of said Regulations U or X.</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3.13. </w:t>
      </w:r>
      <w:r>
        <w:rPr>
          <w:rFonts w:ascii="Times New Roman;serif" w:hAnsi="Times New Roman;serif"/>
          <w:b w:val="false"/>
          <w:color w:val="000000"/>
          <w:sz w:val="24"/>
          <w:u w:val="single"/>
        </w:rPr>
        <w:t>Anti-Corruption Laws; Sanctions Laws and Regulations</w:t>
      </w:r>
      <w:r>
        <w:rPr>
          <w:rFonts w:ascii="Times New Roman;serif" w:hAnsi="Times New Roman;serif"/>
          <w:b w:val="false"/>
          <w:color w:val="000000"/>
          <w:sz w:val="24"/>
        </w:rPr>
        <w:t xml:space="preserve">. The Borrower and its Subsidiaries have instituted and maintain policies and procedures designed to ensure, and which are reasonably expected to continue to ensure, continued compliance with Anti-Corruption Laws and applicable Sanctions Laws and Regulations. The Borrower and its Subsidiaries and, to the knowledge of the Borrower and its Subsidiaries, their respective officers, employees, directors and agents, are in compliance with Anti-Corruption Laws and applicable Sanctions Laws and Regulations in all respects (for the avoidance of doubt, this representation shall not fail to be true and correct due to any failure or failures to comply with Anti-Corruption Laws (i) that are isolated and do not evidence a pervasive or systemic pattern of violations of such laws and regulations or a significant deficiency in the implementation of the aforesaid policies and procedures to ensure compliance by the Borrower and its Subsidiaries with Anti-Corruption Laws or (ii) that arise from actions or incidents that have been publicly disclosed by the Borrower or disclosed in writing to the Administrative Agent (with a copy to Lenders), in each case, at least twenty (20) days prior to the Effective Date). Neither the Borrower nor any of its Subsidiaries, or to their knowledge any of their directors or officers, or any of their respective agents acting or benefiting in any capacity in connection with this Agreement, is a Designated Person or is knowingly engaged in any activity that could reasonably be expected to result in such Person becoming a Designated Person. No Loan, use of proceeds or other transaction </w:t>
      </w:r>
    </w:p>
    <w:p>
      <w:pPr>
        <w:pStyle w:val="TextBody"/>
        <w:bidi w:val="0"/>
        <w:spacing w:before="0" w:after="0"/>
        <w:jc w:val="both"/>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contemplated by this Agreement will result in a violation of Anti-Corruption Laws or applicable Sanctions Laws and Regulations by the Borrower or any of its Subsidiaries.</w:t>
      </w:r>
    </w:p>
    <w:p>
      <w:pPr>
        <w:pStyle w:val="TextBody"/>
        <w:bidi w:val="0"/>
        <w:spacing w:lineRule="auto" w:line="288" w:before="0" w:after="240"/>
        <w:jc w:val="center"/>
        <w:rPr/>
      </w:pPr>
      <w:r>
        <w:rPr>
          <w:rFonts w:ascii="Times New Roman;serif" w:hAnsi="Times New Roman;serif"/>
          <w:b w:val="false"/>
          <w:color w:val="000000"/>
          <w:sz w:val="24"/>
        </w:rPr>
        <w:t>ARTICLE IV</w:t>
        <w:br/>
        <w:br/>
      </w:r>
      <w:r>
        <w:rPr>
          <w:rFonts w:ascii="Times New Roman;serif" w:hAnsi="Times New Roman;serif"/>
          <w:b w:val="false"/>
          <w:color w:val="000000"/>
          <w:sz w:val="24"/>
          <w:u w:val="single"/>
        </w:rPr>
        <w:t>Conditions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4.01. </w:t>
      </w:r>
      <w:r>
        <w:rPr>
          <w:rFonts w:ascii="Times New Roman;serif" w:hAnsi="Times New Roman;serif"/>
          <w:b w:val="false"/>
          <w:color w:val="000000"/>
          <w:sz w:val="24"/>
          <w:u w:val="single"/>
        </w:rPr>
        <w:t>Effective Date</w:t>
      </w:r>
      <w:r>
        <w:rPr>
          <w:rFonts w:ascii="Times New Roman;serif" w:hAnsi="Times New Roman;serif"/>
          <w:b w:val="false"/>
          <w:color w:val="000000"/>
          <w:sz w:val="24"/>
        </w:rPr>
        <w:t>. The obligations of the Lenders to make Loans hereunder shall not become effective until the Effective Date which is scheduled to occur when each of the following conditions is satisfied: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The Administrative Agent (or its counsel) shall have received from each party hereto either (i) a counterpart of this Agreement signed on behalf of such party or (ii) written evidence satisfactory to the Administrative Agent (which may include telecopy transmission of a signed signature page of this Agreement) that such party has signed a counterpart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    The Administrative Agent shall have received favorable written opinions (addressed to the Administrative Agent and the Lenders and dated the Effective Date) of Christopher S. Wade, in-house counsel for Borrower and EPD and Willkie Farr &amp; Gallagher LLP, counsel for Borrower and EPD, substantially in the forms of </w:t>
      </w:r>
      <w:r>
        <w:rPr>
          <w:rFonts w:ascii="Times New Roman;serif" w:hAnsi="Times New Roman;serif"/>
          <w:b w:val="false"/>
          <w:color w:val="000000"/>
          <w:sz w:val="24"/>
          <w:u w:val="single"/>
        </w:rPr>
        <w:t>Exhibits D-1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D-2</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The Administrative Agent shall have received such documents and certificates as the Administrative Agent or its counsel may reasonably request relating to (1) the organization and existence of the Borrower and EPD, (2) the authorization of the Transactions and any other legal matters relating to the Borrower, this Agreement or the Transactions, all in form and substance reasonably satisfactory to the Administrative Agent and its counsel, and (3) with respect to EPD, the authorization of the EPD Guaranty Agreement and any other legal matters relating to EPD.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The Administrative Agent shall have received the EPD Guaranty Agreement dated as of the date hereof, duly and validly executed by EPD.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(e)    The Administrative Agent shall have received each promissory note requested by a Lender pursuant to </w:t>
      </w:r>
      <w:r>
        <w:rPr>
          <w:rFonts w:ascii="Times New Roman;serif" w:hAnsi="Times New Roman;serif"/>
          <w:b w:val="false"/>
          <w:color w:val="000000"/>
          <w:sz w:val="24"/>
          <w:u w:val="single"/>
        </w:rPr>
        <w:t>Section 2.10(e)</w:t>
      </w:r>
      <w:r>
        <w:rPr>
          <w:rFonts w:ascii="Times New Roman;serif" w:hAnsi="Times New Roman;serif"/>
          <w:b w:val="false"/>
          <w:color w:val="000000"/>
          <w:sz w:val="24"/>
        </w:rPr>
        <w:t>, each duly completed and executed by the Borrower.</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(f)    The Administrative Agent shall have received a certificate, dated the Effective Date and signed by the President, an Executive Vice President or a Financial Officer, confirming compliance with the conditions set forth in </w:t>
      </w:r>
      <w:r>
        <w:rPr>
          <w:rFonts w:ascii="Times New Roman;serif" w:hAnsi="Times New Roman;serif"/>
          <w:b w:val="false"/>
          <w:color w:val="000000"/>
          <w:sz w:val="24"/>
          <w:u w:val="single"/>
        </w:rPr>
        <w:t>Section 4.01(h)</w:t>
      </w:r>
      <w:r>
        <w:rPr>
          <w:color w:val="000000"/>
        </w:rPr>
        <w:t xml:space="preserve"> </w:t>
      </w:r>
      <w:r>
        <w:rPr>
          <w:rFonts w:ascii="Times New Roman;serif" w:hAnsi="Times New Roman;serif"/>
          <w:b w:val="false"/>
          <w:color w:val="000000"/>
          <w:sz w:val="24"/>
        </w:rPr>
        <w:t xml:space="preserve">and paragraphs (a) and (b) of </w:t>
      </w:r>
      <w:r>
        <w:rPr>
          <w:rFonts w:ascii="Times New Roman;serif" w:hAnsi="Times New Roman;serif"/>
          <w:b w:val="false"/>
          <w:color w:val="000000"/>
          <w:sz w:val="24"/>
          <w:u w:val="single"/>
        </w:rPr>
        <w:t>Section 4.02</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(g)    The Administrative Agent and the Arrangers shall have received all fees and other amounts due and payable to or on behalf of the Administrative Agent, any Arranger or any Lender on or prior to the Effective Date, including, to the extent invoiced five (5) Business Days prior to closing, reimbursement or payment of all out-of-pocket expenses required to be reimbursed or paid by the Borrower hereunder.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(h)    As of the Effective Date, no Material Adverse Change exists.</w:t>
      </w:r>
    </w:p>
    <w:p>
      <w:pPr>
        <w:pStyle w:val="TextBody"/>
        <w:bidi w:val="0"/>
        <w:spacing w:before="0" w:after="0"/>
        <w:jc w:val="both"/>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The Lenders shall have received (i) the audited financial statements for the Borrower and its Subsidiaries for the fiscal year ended December 31, 2025, (ii) EPD's Form 10-K for such fiscal year, (iii) the unaudited financial statements for the Borrower and its Subsidiaries for the fiscal quarter ended March 31, 2026, and (iv) EPD’s Form 10-Q for such fiscal quarter.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(j)    All necessary governmental and third-party approvals, if any, required to be obtained by the Borrower in connection with the Transactions and otherwise referred to herein shall have been obtained and remain in effect (except where failure to obtain such approvals will not have a Material Adverse Effect), and all applicable waiting periods shall have expired without any action being taken by any applicable authority.</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Administrative Agent shall notify the Borrower and the Lenders of the Effective Date, and such notice shall be conclusive and binding.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4.02. </w:t>
      </w:r>
      <w:r>
        <w:rPr>
          <w:rFonts w:ascii="Times New Roman;serif" w:hAnsi="Times New Roman;serif"/>
          <w:b w:val="false"/>
          <w:color w:val="000000"/>
          <w:sz w:val="24"/>
          <w:u w:val="single"/>
        </w:rPr>
        <w:t>Each Credit Event</w:t>
      </w:r>
      <w:r>
        <w:rPr>
          <w:rFonts w:ascii="Times New Roman;serif" w:hAnsi="Times New Roman;serif"/>
          <w:b w:val="false"/>
          <w:color w:val="000000"/>
          <w:sz w:val="24"/>
        </w:rPr>
        <w:t>. The obligation of each Lender to make a Loan on the occasion of any Borrowing (exclusive of continuations and conversions of a Borrowing) is subject to the satisfaction of the following conditions: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The representations and warranties of the Borrower set forth in this Agreement shall be true and correct in all material respects (except that any representation and warranty that is qualified by materiality shall be true and correct in all respects) on and as of the date of such Borrowing, except to the extent that such representations and warranties specifically refer to an earlier date, in which case they were true and correct in all material respects as of such earlier date.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At the time of and immediately after giving effect to such Borrowing, no Default shall have occurred and be continuing.</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Each Borrowing shall be deemed to constitute a representation and warranty by the Borrower on the date thereof as to the matters specified in paragraphs (a) and (b) of this Section.</w:t>
      </w:r>
    </w:p>
    <w:p>
      <w:pPr>
        <w:pStyle w:val="TextBody"/>
        <w:bidi w:val="0"/>
        <w:spacing w:lineRule="auto" w:line="288" w:before="0" w:after="240"/>
        <w:jc w:val="center"/>
        <w:rPr/>
      </w:pPr>
      <w:r>
        <w:rPr>
          <w:rFonts w:ascii="Times New Roman;serif" w:hAnsi="Times New Roman;serif"/>
          <w:b w:val="false"/>
          <w:color w:val="000000"/>
          <w:sz w:val="24"/>
        </w:rPr>
        <w:t>ARTICLE V</w:t>
        <w:br/>
        <w:br/>
      </w:r>
      <w:r>
        <w:rPr>
          <w:rFonts w:ascii="Times New Roman;serif" w:hAnsi="Times New Roman;serif"/>
          <w:b w:val="false"/>
          <w:color w:val="000000"/>
          <w:sz w:val="24"/>
          <w:u w:val="single"/>
        </w:rPr>
        <w:t>Affirmative Covenants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Until the Commitments have expired or been terminated and the principal of and interest on each Loan and all fees payable hereunder shall have been paid in full, the Borrower covenants and agrees with the Lenders that: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5.01. </w:t>
      </w:r>
      <w:r>
        <w:rPr>
          <w:rFonts w:ascii="Times New Roman;serif" w:hAnsi="Times New Roman;serif"/>
          <w:b w:val="false"/>
          <w:color w:val="000000"/>
          <w:sz w:val="24"/>
          <w:u w:val="single"/>
        </w:rPr>
        <w:t>Financial Statements and Other Information</w:t>
      </w:r>
      <w:r>
        <w:rPr>
          <w:rFonts w:ascii="Times New Roman;serif" w:hAnsi="Times New Roman;serif"/>
          <w:b w:val="false"/>
          <w:color w:val="000000"/>
          <w:sz w:val="24"/>
        </w:rPr>
        <w:t>. The Borrower will furnish, or cause to be furnished, to the Administrative Agent and each Lender: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(a)    within 15 days after filing same with the Securities and Exchange Commission (“</w:t>
      </w:r>
      <w:r>
        <w:rPr>
          <w:rFonts w:ascii="Times New Roman;serif" w:hAnsi="Times New Roman;serif"/>
          <w:b w:val="false"/>
          <w:color w:val="000000"/>
          <w:sz w:val="24"/>
          <w:u w:val="single"/>
        </w:rPr>
        <w:t>SEC</w:t>
      </w:r>
      <w:r>
        <w:rPr>
          <w:color w:val="000000"/>
        </w:rPr>
        <w:t>”</w:t>
      </w:r>
      <w:r>
        <w:rPr>
          <w:rFonts w:ascii="Times New Roman;serif" w:hAnsi="Times New Roman;serif"/>
          <w:b w:val="false"/>
          <w:color w:val="000000"/>
          <w:sz w:val="24"/>
        </w:rPr>
        <w:t>), copies of each annual report on Form 10-K, quarterly report on Form 10-Q and report on Form 8-K (or any successor or substitute forms) that EPD is required to file with the SEC pursuant to Section 13 or 15(d) of the Securities Exchange Act of 1934, as amended, and any successor statute (the “</w:t>
      </w:r>
      <w:r>
        <w:rPr>
          <w:rFonts w:ascii="Times New Roman;serif" w:hAnsi="Times New Roman;serif"/>
          <w:b w:val="false"/>
          <w:color w:val="000000"/>
          <w:sz w:val="24"/>
          <w:u w:val="single"/>
        </w:rPr>
        <w:t>Exchange Act</w:t>
      </w:r>
      <w:r>
        <w:rPr>
          <w:color w:val="000000"/>
        </w:rPr>
        <w:t>”</w:t>
      </w:r>
      <w:r>
        <w:rPr>
          <w:rFonts w:ascii="Times New Roman;serif" w:hAnsi="Times New Roman;serif"/>
          <w:b w:val="false"/>
          <w:color w:val="000000"/>
          <w:sz w:val="24"/>
        </w:rPr>
        <w:t>);</w:t>
      </w:r>
    </w:p>
    <w:p>
      <w:pPr>
        <w:pStyle w:val="TextBody"/>
        <w:bidi w:val="0"/>
        <w:spacing w:before="0" w:after="0"/>
        <w:jc w:val="both"/>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within 15 days after filing same with the SEC, copies of each annual report on Form 10-K, quarterly report on Form 10-Q and report on Form 8-K (or any successor or substitute forms) that the Borrower is required to file with the SEC pursuant to Section 13 or 15(d) of the Exchange Act;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    if the Borrower is not subject to the requirements of Section 13 or 15(d) of the Exchange Act and EPD owns direct subsidiaries (other than the Borrower and its Subsidiaries), promptly after becoming available and in any event within 105 days after the close of each fiscal year of the Borrower (i) the audited consolidated balance sheets of the Borrower and its consolidated Subsidiaries as at the end of such year and (ii) the audited consolidated statements of income, equity and cash flow of the Borrower and its consolidated Subsidiaries for such year setting forth in each case in comparative form the corresponding figures for the preceding fiscal year, which report shall be to the effect that such statements have been prepared in accordance with GAAP;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if the Borrower is not subject to Section 13 or 15(d) of the Exchange Act and EPD owns direct subsidiaries (other than the Borrower and its Subsidiaries), promptly after their becoming available and in any event within 60 days after the close of each of the first three fiscal quarters of each fiscal year of the Borrower, (i) the unaudited consolidated balance sheets of the Borrower and its consolidated Subsidiaries as at the end of such quarter and (ii) the unaudited consolidated statements of income, equity and cash flow of the Borrower for such quarter, setting forth in each case in comparative form the corresponding figures for the preceding fiscal year, all of the foregoing certified by a Financial Officer to have been prepared in accordance with GAAP subject to normal changes resulting from year-end adjustment and accompanied by a written discussion of the financial performance and operating results, including the major assets, of the Borrower for such quarter; and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(e)    within 60 days after the end of each fiscal quarter of each fiscal year of the Borrower, a certificate of a Financial Officer substantially in the form of </w:t>
      </w:r>
      <w:r>
        <w:rPr>
          <w:rFonts w:ascii="Times New Roman;serif" w:hAnsi="Times New Roman;serif"/>
          <w:b w:val="false"/>
          <w:color w:val="000000"/>
          <w:sz w:val="24"/>
          <w:u w:val="single"/>
        </w:rPr>
        <w:t>Exhibit E</w:t>
      </w:r>
      <w:r>
        <w:rPr>
          <w:color w:val="000000"/>
        </w:rPr>
        <w:t xml:space="preserve"> </w:t>
      </w:r>
      <w:r>
        <w:rPr>
          <w:rFonts w:ascii="Times New Roman;serif" w:hAnsi="Times New Roman;serif"/>
          <w:b w:val="false"/>
          <w:color w:val="000000"/>
          <w:sz w:val="24"/>
        </w:rPr>
        <w:t xml:space="preserve">(i) certifying as to whether a Default has occurred that is then continuing and, if a Default has occurred that is then continuing, specifying the details thereof and any action taken or proposed to be taken with respect thereto, and (ii) setting forth in reasonable detail calculations demonstrating compliance with </w:t>
      </w:r>
      <w:r>
        <w:rPr>
          <w:rFonts w:ascii="Times New Roman;serif" w:hAnsi="Times New Roman;serif"/>
          <w:b w:val="false"/>
          <w:color w:val="000000"/>
          <w:sz w:val="24"/>
          <w:u w:val="single"/>
        </w:rPr>
        <w:t>Section 6.07</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5.02. </w:t>
      </w:r>
      <w:r>
        <w:rPr>
          <w:rFonts w:ascii="Times New Roman;serif" w:hAnsi="Times New Roman;serif"/>
          <w:b w:val="false"/>
          <w:color w:val="000000"/>
          <w:sz w:val="24"/>
          <w:u w:val="single"/>
        </w:rPr>
        <w:t>Notices of Material Events</w:t>
      </w:r>
      <w:r>
        <w:rPr>
          <w:rFonts w:ascii="Times New Roman;serif" w:hAnsi="Times New Roman;serif"/>
          <w:b w:val="false"/>
          <w:color w:val="000000"/>
          <w:sz w:val="24"/>
        </w:rPr>
        <w:t>. The Borrower will furnish to the Administrative Agent and each Lender prompt written notice of the following:</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the occurrence of any Event of Default;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any other development that results in, or could reasonably be expected to result in, a Material Adverse Effect.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Each notice delivered under this Section shall be accompanied by a statement of a Financial Officer or other executive officer of the Borrower or the Manager on behalf of the Borrower setting forth the details of the event or development requiring such notice and any action taken or proposed to be taken with respect thereto.</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5.03. </w:t>
      </w:r>
      <w:r>
        <w:rPr>
          <w:rFonts w:ascii="Times New Roman;serif" w:hAnsi="Times New Roman;serif"/>
          <w:b w:val="false"/>
          <w:color w:val="000000"/>
          <w:sz w:val="24"/>
          <w:u w:val="single"/>
        </w:rPr>
        <w:t>Existence; Conduct of Business</w:t>
      </w:r>
      <w:r>
        <w:rPr>
          <w:rFonts w:ascii="Times New Roman;serif" w:hAnsi="Times New Roman;serif"/>
          <w:b w:val="false"/>
          <w:color w:val="000000"/>
          <w:sz w:val="24"/>
        </w:rPr>
        <w:t xml:space="preserve">. The Borrower will do or cause to be done all things necessary to preserve, renew and keep in full force and effect its legal existence </w:t>
      </w:r>
    </w:p>
    <w:p>
      <w:pPr>
        <w:pStyle w:val="TextBody"/>
        <w:bidi w:val="0"/>
        <w:spacing w:before="0" w:after="0"/>
        <w:jc w:val="both"/>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and the rights, licenses, permits, privileges and franchises material to the conduct of its business;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that</w:t>
      </w:r>
      <w:r>
        <w:rPr>
          <w:color w:val="000000"/>
        </w:rPr>
        <w:t xml:space="preserve"> </w:t>
      </w:r>
      <w:r>
        <w:rPr>
          <w:rFonts w:ascii="Times New Roman;serif" w:hAnsi="Times New Roman;serif"/>
          <w:b w:val="false"/>
          <w:color w:val="000000"/>
          <w:sz w:val="24"/>
        </w:rPr>
        <w:t xml:space="preserve">the foregoing shall not prohibit any merger, amalgamation, consolidation, liquidation or dissolution not prohibited under </w:t>
      </w:r>
      <w:r>
        <w:rPr>
          <w:rFonts w:ascii="Times New Roman;serif" w:hAnsi="Times New Roman;serif"/>
          <w:b w:val="false"/>
          <w:color w:val="000000"/>
          <w:sz w:val="24"/>
          <w:u w:val="single"/>
        </w:rPr>
        <w:t>Section 6.03</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5.04. </w:t>
      </w:r>
      <w:r>
        <w:rPr>
          <w:rFonts w:ascii="Times New Roman;serif" w:hAnsi="Times New Roman;serif"/>
          <w:b w:val="false"/>
          <w:color w:val="000000"/>
          <w:sz w:val="24"/>
          <w:u w:val="single"/>
        </w:rPr>
        <w:t>Maintenance of Properties; Insurance</w:t>
      </w:r>
      <w:r>
        <w:rPr>
          <w:rFonts w:ascii="Times New Roman;serif" w:hAnsi="Times New Roman;serif"/>
          <w:b w:val="false"/>
          <w:color w:val="000000"/>
          <w:sz w:val="24"/>
        </w:rPr>
        <w:t>. The Borrower will, and will cause each of its Subsidiaries to, (a) keep and maintain all property material to the conduct of its business in good working order and condition, ordinary wear and tear excepted, and (b) maintain, with financially sound and reputable insurance companies, insurance in such amounts and against such risks as are customarily maintained by companies engaged in the same or similar businesses operating in the same or similar locations.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5.05. </w:t>
      </w:r>
      <w:r>
        <w:rPr>
          <w:rFonts w:ascii="Times New Roman;serif" w:hAnsi="Times New Roman;serif"/>
          <w:b w:val="false"/>
          <w:color w:val="000000"/>
          <w:sz w:val="24"/>
          <w:u w:val="single"/>
        </w:rPr>
        <w:t>Books and Records; Inspection Rights</w:t>
      </w:r>
      <w:r>
        <w:rPr>
          <w:rFonts w:ascii="Times New Roman;serif" w:hAnsi="Times New Roman;serif"/>
          <w:b w:val="false"/>
          <w:color w:val="000000"/>
          <w:sz w:val="24"/>
        </w:rPr>
        <w:t>. The Borrower will, and will cause each of its Subsidiaries to, keep in accordance with GAAP proper books of record and account in which full, true and correct entries are made in all material respects of all dealings and transactions in relation to its business and activities. The Borrower will, and will cause each of its Subsidiaries to, permit any representatives designated by the Administrative Agent or any Lender, upon reasonable prior notice, to visit and inspect its properties, to examine and make extracts from its books and records, and to discuss its affairs, finances and condition with its officers and independent accountants, all at such reasonable times and as often as reasonably requested.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5.06. </w:t>
      </w:r>
      <w:r>
        <w:rPr>
          <w:rFonts w:ascii="Times New Roman;serif" w:hAnsi="Times New Roman;serif"/>
          <w:b w:val="false"/>
          <w:color w:val="000000"/>
          <w:sz w:val="24"/>
          <w:u w:val="single"/>
        </w:rPr>
        <w:t>Compliance with Laws</w:t>
      </w:r>
      <w:r>
        <w:rPr>
          <w:rFonts w:ascii="Times New Roman;serif" w:hAnsi="Times New Roman;serif"/>
          <w:b w:val="false"/>
          <w:color w:val="000000"/>
          <w:sz w:val="24"/>
        </w:rPr>
        <w:t>. The Borrower will, and will cause each of its Subsidiaries to, comply with all laws, rules, regulations and orders of any Governmental Authority applicable to it or its property, except where the failure to do so, individually or in the aggregate, could not reasonably be expected to result in a Material Adverse Effect. The Borrower and its Subsidiaries will maintain in effect and enforce policies and procedures designed to ensure, and which are reasonably expected to continue to ensure, continued compliance with Anti-Corruption Laws and applicable Sanctions Laws and Regulations. The Borrower shall (a) notify the Administrative Agent and each Lender if the Borrower ceases to fall within an express exclusion to the “legal entity customer” definition under the Beneficial Ownership Regulation, and (b) following any such notice, promptly upon the reasonable request of the Administrative Agent or any Lender, provide the Administrative Agent or directly to such Lender, as the case may be, any Beneficial Ownership Certification as may be required by the Beneficial Ownership Regulation or any other information or documentation reasonably requested by it for purposes of complying with the Beneficial Ownership Regulation.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5.07. </w:t>
      </w:r>
      <w:r>
        <w:rPr>
          <w:rFonts w:ascii="Times New Roman;serif" w:hAnsi="Times New Roman;serif"/>
          <w:b w:val="false"/>
          <w:color w:val="000000"/>
          <w:sz w:val="24"/>
          <w:u w:val="single"/>
        </w:rPr>
        <w:t>Use of Proceeds</w:t>
      </w:r>
      <w:r>
        <w:rPr>
          <w:rFonts w:ascii="Times New Roman;serif" w:hAnsi="Times New Roman;serif"/>
          <w:b w:val="false"/>
          <w:color w:val="000000"/>
          <w:sz w:val="24"/>
        </w:rPr>
        <w:t xml:space="preserve">. The proceeds of the Loans will be used only (a) for payment of transaction expenses related to the Transactions, and (b) for working capital, capital expenditures, acquisitions and other company purposes. No part of the proceeds of any Loan will be used, whether directly or indirectly, for any purpose that entails a violation of any of the Regulations of the Board, including Regulations U and X. The Borrower and its Subsidiaries shall not, and, to their knowledge, their respective officers, employees, directors and agents (in their capacity as officers, employees, directors or agents, respectively, of the Borrower or any of its Subsidiaries), shall not, use the proceeds of any Loan (i) to fund any activities or business of or with any Designated Person, or in any country or territory, that at the time of such funding is the subject of any sanctions under any Sanctions Laws and Regulations (on the Effective Date, Crimea, Kherson and Zaporizhzhia Regions of Ukraine, the so-called Donetsk and Luhansk People's Republic regions of Ukraine and other non-Ukrainian controlled regions of Ukraine, </w:t>
      </w:r>
    </w:p>
    <w:p>
      <w:pPr>
        <w:pStyle w:val="TextBody"/>
        <w:bidi w:val="0"/>
        <w:spacing w:before="0" w:after="0"/>
        <w:jc w:val="both"/>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Cuba, Iran, North Korea and Syria), (ii) in any other manner that would result in a material violation of any Sanctions Laws and Regulations by the Borrower or its Subsidiaries or (iii) in furtherance of an offer, payment, promise to pay, or authorization of the payment or giving of money, or anything else of value, to any Person in violation of any Anti-Corruption Laws.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5.08. </w:t>
      </w:r>
      <w:r>
        <w:rPr>
          <w:rFonts w:ascii="Times New Roman;serif" w:hAnsi="Times New Roman;serif"/>
          <w:b w:val="false"/>
          <w:color w:val="000000"/>
          <w:sz w:val="24"/>
          <w:u w:val="single"/>
        </w:rPr>
        <w:t>Environmental Matters</w:t>
      </w:r>
      <w:r>
        <w:rPr>
          <w:rFonts w:ascii="Times New Roman;serif" w:hAnsi="Times New Roman;serif"/>
          <w:b w:val="false"/>
          <w:color w:val="000000"/>
          <w:sz w:val="24"/>
        </w:rPr>
        <w:t>. The Borrower has established and implemented, or will establish and implement, and will cause each of its Subsidiaries to establish and implement, such procedures as may be necessary to assure that (except for any failure of the following that, individually or in the aggregate, does not have a Material Adverse Effect): (i) all property of the Borrower and its Subsidiaries and the operations conducted thereon are in compliance with and do not violate the requirements of any Environmental Laws, (ii) no oil or solid wastes are disposed of or otherwise released on or to any property owned by the Borrower or its Subsidiaries except in compliance with Environmental Laws, (iii) no Hazardous Materials will be released on or to any such property in a quantity equal to or exceeding that quantity which requires reporting pursuant to Section 103 of CERCLA, and (iv) no oil or Hazardous Materials is released on or to any such property so as to pose an imminent and substantial endangerment to public health or welfare or the environment.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5.09 </w:t>
      </w:r>
      <w:r>
        <w:rPr>
          <w:rFonts w:ascii="Times New Roman;serif" w:hAnsi="Times New Roman;serif"/>
          <w:b w:val="false"/>
          <w:color w:val="000000"/>
          <w:sz w:val="24"/>
          <w:u w:val="single"/>
        </w:rPr>
        <w:t>ERISA Information</w:t>
      </w:r>
      <w:r>
        <w:rPr>
          <w:rFonts w:ascii="Times New Roman;serif" w:hAnsi="Times New Roman;serif"/>
          <w:b w:val="false"/>
          <w:color w:val="000000"/>
          <w:sz w:val="24"/>
        </w:rPr>
        <w:t>. The Borrower will furnish to the Administrative Agent: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within 15 Business Days after the institution of or the withdrawal or partial withdrawal by the Borrower, any Subsidiary or any ERISA Affiliate from any Multiemployer Plan which would cause the Borrower, any Subsidiary or any ERISA Affiliate to incur Withdrawal Liability in excess of $100,000,000 (in the aggregate for all such withdrawals), a written notice thereof signed by an executive officer of the Borrower stating the applicable details;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within 15 Business Days after an officer of the Borrower becomes aware of any material action at law or at equity brought against the Borrower, any of its Subsidiaries, any ERISA Affiliate, or any fiduciary of a Plan in connection with the administration of any Plan or the investment of assets thereunder, a written notice signed by an executive officer of the Borrower specifying the nature thereof and what action the Borrower is taking or proposes to take with respect thereto.</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5.10 </w:t>
      </w:r>
      <w:r>
        <w:rPr>
          <w:rFonts w:ascii="Times New Roman;serif" w:hAnsi="Times New Roman;serif"/>
          <w:b w:val="false"/>
          <w:color w:val="000000"/>
          <w:sz w:val="24"/>
          <w:u w:val="single"/>
        </w:rPr>
        <w:t>Taxes</w:t>
      </w:r>
      <w:r>
        <w:rPr>
          <w:rFonts w:ascii="Times New Roman;serif" w:hAnsi="Times New Roman;serif"/>
          <w:b w:val="false"/>
          <w:color w:val="000000"/>
          <w:sz w:val="24"/>
        </w:rPr>
        <w:t xml:space="preserve">. The Borrower will, and will cause each of its Subsidiaries to, pay and discharge, or cause to be paid and discharged, promptly or make, or cause to be made, timely deposit of all taxes (including Federal Insurance Contribution Act payments and withholding taxes), assessments and governmental charges or levies imposed upon the Borrower or any Subsidiary or upon the income or any property of the Borrower or any Subsidiary;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neither the Borrower nor any Subsidiary shall be required to pay any such tax, assessment, charge, levy or claim if the amount, applicability or validity thereof shall currently be contested in good faith by appropriate proceedings diligently conducted by or on behalf of the Borrower or its Subsidiary, and if the Borrower or its Subsidiary shall have set up reserves therefor adequate under GAAP or if no Material Adverse Effect shall be occasioned by all such failures in the aggregate.</w:t>
      </w:r>
    </w:p>
    <w:p>
      <w:pPr>
        <w:pStyle w:val="TextBody"/>
        <w:bidi w:val="0"/>
        <w:spacing w:before="0" w:after="0"/>
        <w:jc w:val="both"/>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val="false"/>
          <w:color w:val="000000"/>
          <w:sz w:val="24"/>
        </w:rPr>
        <w:t>ARTICLE VI</w:t>
        <w:br/>
        <w:br/>
      </w:r>
      <w:r>
        <w:rPr>
          <w:rFonts w:ascii="Times New Roman;serif" w:hAnsi="Times New Roman;serif"/>
          <w:b w:val="false"/>
          <w:color w:val="000000"/>
          <w:sz w:val="24"/>
          <w:u w:val="single"/>
        </w:rPr>
        <w:t>Negative Covenants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Until the Commitments have expired or terminated and the principal of and interest on each Loan and all fees payable hereunder have been paid in full, the Borrower covenants and agrees with the Lenders that: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6.01. </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6.02. </w:t>
      </w:r>
      <w:r>
        <w:rPr>
          <w:rFonts w:ascii="Times New Roman;serif" w:hAnsi="Times New Roman;serif"/>
          <w:b w:val="false"/>
          <w:color w:val="000000"/>
          <w:sz w:val="24"/>
          <w:u w:val="single"/>
        </w:rPr>
        <w:t>Liens</w:t>
      </w:r>
      <w:r>
        <w:rPr>
          <w:rFonts w:ascii="Times New Roman;serif" w:hAnsi="Times New Roman;serif"/>
          <w:b w:val="false"/>
          <w:color w:val="000000"/>
          <w:sz w:val="24"/>
        </w:rPr>
        <w:t xml:space="preserve">. The Borrower shall not, and shall not permit any Subsidiary (other than Project Finance Subsidiaries) or EPD to, create, assume, incur or suffer to exist any Lien, other than a Permitted Lien, on any Principal Property or upon any Equity Interests of the Borrower or any Subsidiary (other than Project Finance Subsidiaries) owning or leasing any Principal Property, now owned or hereafter acquired by the Borrower or such Subsidiary to secure any Indebtedness of the Borrower, EPD or any other Person (other than the Indebtedness under this Agreement), without in any such case making effective provision whereby any and all Indebtedness under this Agreement then outstanding will be secured by a Lien equally and ratably with, or prior to, such Indebtedness for so long as such Indebtedness shall be so secured. Notwithstanding the foregoing, the Borrower may, and may permit any Subsidiary (other than a Project Finance Subsidiary) and EPD to, create, assume, incur or suffer to exist any Lien upon any Principal Property to secure Indebtedness of the Borrower, EPD or any other Person (other than the Indebtedness under this Agreement), other than a Permitted Lien without securing the Indebtedness under this Agreement, provided </w:t>
      </w:r>
      <w:r>
        <w:rPr>
          <w:rFonts w:ascii="Times New Roman;serif" w:hAnsi="Times New Roman;serif"/>
          <w:b w:val="false"/>
          <w:color w:val="000000"/>
          <w:sz w:val="24"/>
          <w:u w:val="single"/>
        </w:rPr>
        <w:t>that</w:t>
      </w:r>
      <w:r>
        <w:rPr>
          <w:color w:val="000000"/>
        </w:rPr>
        <w:t xml:space="preserve"> </w:t>
      </w:r>
      <w:r>
        <w:rPr>
          <w:rFonts w:ascii="Times New Roman;serif" w:hAnsi="Times New Roman;serif"/>
          <w:b w:val="false"/>
          <w:color w:val="000000"/>
          <w:sz w:val="24"/>
        </w:rPr>
        <w:t>the aggregate principal amount of all Indebtedness then outstanding secured by such Lien and all similar Liens together with the aggregate amount of Attributable Indebtedness deemed to be outstanding in respect of all Sale/Leaseback Transactions (exclusive of any Permitted Sale/Leaseback Transactions), does not exceed 10% of Consolidated Net Tangible Assets.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6.03. </w:t>
      </w:r>
      <w:r>
        <w:rPr>
          <w:rFonts w:ascii="Times New Roman;serif" w:hAnsi="Times New Roman;serif"/>
          <w:b w:val="false"/>
          <w:color w:val="000000"/>
          <w:sz w:val="24"/>
          <w:u w:val="single"/>
        </w:rPr>
        <w:t>Fundamental Changes</w:t>
      </w:r>
      <w:r>
        <w:rPr>
          <w:rFonts w:ascii="Times New Roman;serif" w:hAnsi="Times New Roman;serif"/>
          <w:b w:val="false"/>
          <w:color w:val="000000"/>
          <w:sz w:val="24"/>
        </w:rPr>
        <w:t>. The Borrower will not merge into or consolidate with any other Person, or permit any other Person to merge into or consolidate with it, or sell, transfer, lease or otherwise dispose of (in one transaction or in a series of transactions) all or substantially all of its assets, or all or substantially all of the Equity Interests of any of its Subsidiaries (other than Project Finance Subsidiaries) (in each case, whether now owned or hereafter acquired), or liquidate or dissolve, except that, if at the time thereof and immediately after giving effect thereto no Default shall have occurred and be continuing (i) any Person may merge into or consolidate with the Borrower in a transaction in which the Borrower is the surviving entity, (ii) any Subsidiary of the Borrower may be merged into, amalgamated with or consolidated with another Subsidiary, change its jurisdiction of organization, or change the type of business entity in which it conducts its business, and (iii) Borrower may sell or otherwise dispose of all or any portion of the Equity Interests of any of its Subsidiaries.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6.04. </w:t>
      </w:r>
      <w:r>
        <w:rPr>
          <w:rFonts w:ascii="Times New Roman;serif" w:hAnsi="Times New Roman;serif"/>
          <w:b w:val="false"/>
          <w:color w:val="000000"/>
          <w:sz w:val="24"/>
          <w:u w:val="single"/>
        </w:rPr>
        <w:t>Investment Restriction</w:t>
      </w:r>
      <w:r>
        <w:rPr>
          <w:rFonts w:ascii="Times New Roman;serif" w:hAnsi="Times New Roman;serif"/>
          <w:b w:val="false"/>
          <w:color w:val="000000"/>
          <w:sz w:val="24"/>
        </w:rPr>
        <w:t xml:space="preserve">. Neither the Borrower nor any Subsidiary (other than a Project Finance Subsidiary) will make or suffer to exist investments in Project Finance Subsidiaries, in the aggregate at any one time outstanding, in excess of the sum of (i) the amount of investments existing as of the Effective Date in Project Finance Subsidiaries, (ii) $150,000,000, and (iii) the amount of any portion of the investments permitted by this </w:t>
      </w:r>
      <w:r>
        <w:rPr>
          <w:rFonts w:ascii="Times New Roman;serif" w:hAnsi="Times New Roman;serif"/>
          <w:b w:val="false"/>
          <w:color w:val="000000"/>
          <w:sz w:val="24"/>
          <w:u w:val="single"/>
        </w:rPr>
        <w:t xml:space="preserve">Section 6.04 </w:t>
      </w:r>
      <w:r>
        <w:rPr>
          <w:rFonts w:ascii="Times New Roman;serif" w:hAnsi="Times New Roman;serif"/>
          <w:b w:val="false"/>
          <w:color w:val="000000"/>
          <w:sz w:val="24"/>
        </w:rPr>
        <w:t xml:space="preserve">repaid to the Borrower or any Subsidiary as a dividend, repayment of a loan or </w:t>
      </w:r>
    </w:p>
    <w:p>
      <w:pPr>
        <w:pStyle w:val="TextBody"/>
        <w:bidi w:val="0"/>
        <w:spacing w:before="0" w:after="0"/>
        <w:jc w:val="both"/>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advance, release or discharge of a guarantee or other obligation or other transfer of property or return of capital, as the case may be, occurring after the Effective Date. Computation of the amount of any investment shall be made without any adjustment for increases or decreases in value, or write-ups, write-downs or write-offs with respect to such investment or interest or other earnings on such investment.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6.05. </w:t>
      </w:r>
      <w:r>
        <w:rPr>
          <w:rFonts w:ascii="Times New Roman;serif" w:hAnsi="Times New Roman;serif"/>
          <w:b w:val="false"/>
          <w:color w:val="000000"/>
          <w:sz w:val="24"/>
          <w:u w:val="single"/>
        </w:rPr>
        <w:t>Restricted Payments</w:t>
      </w:r>
      <w:r>
        <w:rPr>
          <w:rFonts w:ascii="Times New Roman;serif" w:hAnsi="Times New Roman;serif"/>
          <w:b w:val="false"/>
          <w:color w:val="000000"/>
          <w:sz w:val="24"/>
        </w:rPr>
        <w:t xml:space="preserve">. The Borrower will not, and will not permit any of its Subsidiaries (other than Project Finance Subsidiaries) to, declare or make, or agree to pay or make, directly or indirectly, any Restricted Payment, except as long as no Event of Default has occurred and is continuing or would result therefrom, (i) the Borrower and the Subsidiaries may make Restricted Payments necessary to fund the Program, (ii) the Borrower may make Restricted Payments from Available Cash (as defined in the Company Agreement) from Operating Surplus (as defined in the Company Agreement) cumulative from January 1, 1999 through the date of such Restricted Payment, (iii) any Subsidiary may buy back any of its own Equity Interests, and (iv) the Borrower and its Subsidiaries may make payments or other distributions to officers, directors or employees with respect to the exercise by any such Persons of options, warrants or other rights to acquire Equity Interests in EPD, the Borrower or such Subsidiary issued pursuant to an employment, equity award, equity option or equity appreciation agreement or plans entered into by EPD, the Borrower or such Subsidiary in the ordinary course of business;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that</w:t>
      </w:r>
      <w:r>
        <w:rPr>
          <w:color w:val="000000"/>
        </w:rPr>
        <w:t xml:space="preserve"> </w:t>
      </w:r>
      <w:r>
        <w:rPr>
          <w:rFonts w:ascii="Times New Roman;serif" w:hAnsi="Times New Roman;serif"/>
          <w:b w:val="false"/>
          <w:color w:val="000000"/>
          <w:sz w:val="24"/>
        </w:rPr>
        <w:t>even if an Event of Default shall have occurred and is continuing, no Subsidiary shall be prohibited from upstreaming dividends or other payments to the Borrower or any Subsidiary (which is not a Project Finance Subsidiary) or making, in the case of any Subsidiary that is not wholly-owned (directly or indirectly) by the Borrower, ratable dividends or payments, as the case may be, to the other owners of Equity Interests in such Subsidiary.</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6.06. </w:t>
      </w:r>
      <w:r>
        <w:rPr>
          <w:rFonts w:ascii="Times New Roman;serif" w:hAnsi="Times New Roman;serif"/>
          <w:b w:val="false"/>
          <w:color w:val="000000"/>
          <w:sz w:val="24"/>
          <w:u w:val="single"/>
        </w:rPr>
        <w:t>Restrictive Agreements</w:t>
      </w:r>
      <w:r>
        <w:rPr>
          <w:rFonts w:ascii="Times New Roman;serif" w:hAnsi="Times New Roman;serif"/>
          <w:b w:val="false"/>
          <w:color w:val="000000"/>
          <w:sz w:val="24"/>
        </w:rPr>
        <w:t xml:space="preserve">. The Borrower will not, and will not permit any of its Subsidiaries (other than Project Finance Subsidiaries) to, directly or indirectly, enter into, incur or permit to exist any agreement or other arrangement with any Person, other than the Lenders pursuant hereto, which prohibits, restricts or imposes any conditions upon the ability of any Subsidiary (other than Project Finance Subsidiaries) to (a) pay dividends or make other distributions or pay any Indebtedness owed to the Borrower or any Subsidiary, or (b) make subordinate loans or advances to or make other investments in the Borrower or any Subsidiary in each case, other than restrictions or conditions contained in, or existing by reasons of, any agreement or instrument (i) existing on the date hereof and identified on Schedule 6.06, (ii) relating to property existing at the time of the acquisition thereof, so long as the restriction or condition relates only to the property so acquired, (iii) relating to any Indebtedness of, or otherwise to, any Subsidiary at the time such Subsidiary was merged, amalgamated or consolidated with or into, or acquired by, the Borrower or a Subsidiary or became a Subsidiary and not created in contemplation thereof, (iv) effecting a renewal, extension, refinancing, refund or replacement (or successive extensions, renewals, refinancings, refunds or replacements) of Indebtedness issued under an agreement referred to in clauses (i) through (iii) above, so long as the restrictions and conditions contained in any such renewal, extension, refinancing, refund or replacement agreement, taken as a whole, are not materially more restrictive than the restrictions and conditions contained in the original agreement, as determined in good faith by the board of directors of the Manager, (v) constituting customary provisions restricting subletting or assignment of any leases of the Borrower or any Subsidiary or provisions in agreements that restrict the assignment of such agreement or any rights thereunder, (vi) constituting restrictions on the sale or other disposition of any property securing Indebtedness as a result of a Lien on </w:t>
      </w:r>
    </w:p>
    <w:p>
      <w:pPr>
        <w:pStyle w:val="TextBody"/>
        <w:bidi w:val="0"/>
        <w:spacing w:before="0" w:after="0"/>
        <w:jc w:val="both"/>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such property permitted hereunder, (vii) constituting any temporary encumbrance or restriction with respect to a Subsidiary under an agreement that has been entered into for the disposition of all or substantially all of the outstanding Equity Interests of or assets of such Subsidiary,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such disposition is otherwise permitted hereunder, (viii) constituting customary restrictions on cash, other deposits or assets imposed by customers and other persons under contracts entered into in the ordinary course of business, (ix) constituting provisions contained in agreements or instruments relating to Indebtedness that prohibit the transfer of all or substantially all of the assets of the obligor under that agreement or instrument unless the transferee assumes the obligations of the obligor under such agreement or instrument or such assets may be transferred subject to such prohibition, (x) constituting a requirement that a certain amount of Indebtedness be maintained between a Subsidiary and the Borrower or another Subsidiary, (xi) constituting any restriction or condition with respect to property under an agreement that has been entered into for the disposition of such property,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such disposition is otherwise permitted hereunder, (xii) constituting any restriction or condition with respect to property under a charter, lease or other agreement that has been entered into for the employment of such property or (xiii) that is a Hybrid Security or an indenture, document, agreement or security entered into or issued in connection with a Hybrid Security or otherwise constituting a restriction or condition on the payment of dividends or distributions by an issuer of a Hybrid Security.</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6.07 </w:t>
      </w:r>
      <w:r>
        <w:rPr>
          <w:rFonts w:ascii="Times New Roman;serif" w:hAnsi="Times New Roman;serif"/>
          <w:b w:val="false"/>
          <w:color w:val="000000"/>
          <w:sz w:val="24"/>
          <w:u w:val="single"/>
        </w:rPr>
        <w:t>Financial Condition Covenant</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u w:val="single"/>
        </w:rPr>
        <w:t>Ratio of Consolidated Indebtedness to Consolidated EBITDA</w:t>
      </w:r>
      <w:r>
        <w:rPr>
          <w:rFonts w:ascii="Times New Roman;serif" w:hAnsi="Times New Roman;serif"/>
          <w:b w:val="false"/>
          <w:color w:val="000000"/>
          <w:sz w:val="24"/>
        </w:rPr>
        <w:t>. The Borrower shall not permit its Debt Coverage Ratio in each case for the four full fiscal quarters most recently ended to exceed:</w:t>
      </w:r>
    </w:p>
    <w:p>
      <w:pPr>
        <w:pStyle w:val="TextBody"/>
        <w:bidi w:val="0"/>
        <w:spacing w:lineRule="auto" w:line="288" w:before="0" w:after="240"/>
        <w:jc w:val="both"/>
        <w:rPr/>
      </w:pPr>
      <w:r>
        <w:rPr>
          <w:rFonts w:ascii="Times New Roman;serif" w:hAnsi="Times New Roman;serif"/>
          <w:b/>
          <w:color w:val="000000"/>
          <w:sz w:val="24"/>
        </w:rPr>
        <w:t>5.00 to 1.00</w:t>
      </w:r>
      <w:r>
        <w:rPr>
          <w:color w:val="000000"/>
        </w:rPr>
        <w:t xml:space="preserve"> </w:t>
      </w:r>
      <w:r>
        <w:rPr>
          <w:rFonts w:ascii="Times New Roman;serif" w:hAnsi="Times New Roman;serif"/>
          <w:b w:val="false"/>
          <w:color w:val="000000"/>
          <w:sz w:val="24"/>
        </w:rPr>
        <w:t>as of the last day of any fiscal quarter;</w:t>
      </w:r>
    </w:p>
    <w:p>
      <w:pPr>
        <w:pStyle w:val="TextBody"/>
        <w:bidi w:val="0"/>
        <w:spacing w:lineRule="auto" w:line="288" w:before="0" w:after="240"/>
        <w:jc w:val="both"/>
        <w:rPr/>
      </w:pPr>
      <w:r>
        <w:rPr>
          <w:rFonts w:ascii="Times New Roman;serif" w:hAnsi="Times New Roman;serif"/>
          <w:b w:val="false"/>
          <w:color w:val="000000"/>
          <w:sz w:val="24"/>
          <w:u w:val="single"/>
        </w:rPr>
        <w:t>provided</w:t>
      </w:r>
      <w:r>
        <w:rPr>
          <w:rFonts w:ascii="Times New Roman;serif" w:hAnsi="Times New Roman;serif"/>
          <w:b w:val="false"/>
          <w:color w:val="000000"/>
          <w:sz w:val="24"/>
        </w:rPr>
        <w:t>, following a Specified Acquisition (defined below), such ratio shall not exceed</w:t>
      </w:r>
    </w:p>
    <w:p>
      <w:pPr>
        <w:pStyle w:val="TextBody"/>
        <w:bidi w:val="0"/>
        <w:spacing w:lineRule="auto" w:line="288" w:before="0" w:after="240"/>
        <w:jc w:val="both"/>
        <w:rPr/>
      </w:pPr>
      <w:r>
        <w:rPr>
          <w:rFonts w:ascii="Times New Roman;serif" w:hAnsi="Times New Roman;serif"/>
          <w:b/>
          <w:color w:val="000000"/>
          <w:sz w:val="24"/>
        </w:rPr>
        <w:t>5.50 to 1.00</w:t>
      </w:r>
      <w:r>
        <w:rPr>
          <w:color w:val="000000"/>
        </w:rPr>
        <w:t xml:space="preserve"> </w:t>
      </w:r>
      <w:r>
        <w:rPr>
          <w:rFonts w:ascii="Times New Roman;serif" w:hAnsi="Times New Roman;serif"/>
          <w:b w:val="false"/>
          <w:color w:val="000000"/>
          <w:sz w:val="24"/>
        </w:rPr>
        <w:t>as of the last day of (i) the fiscal quarter in which the Specified Acquisition occurred (the “</w:t>
      </w:r>
      <w:r>
        <w:rPr>
          <w:rFonts w:ascii="Times New Roman;serif" w:hAnsi="Times New Roman;serif"/>
          <w:b w:val="false"/>
          <w:color w:val="000000"/>
          <w:sz w:val="24"/>
          <w:u w:val="single"/>
        </w:rPr>
        <w:t>Acquisition Quarter</w:t>
      </w:r>
      <w:r>
        <w:rPr>
          <w:color w:val="000000"/>
        </w:rPr>
        <w:t>”</w:t>
      </w:r>
      <w:r>
        <w:rPr>
          <w:rFonts w:ascii="Times New Roman;serif" w:hAnsi="Times New Roman;serif"/>
          <w:b w:val="false"/>
          <w:color w:val="000000"/>
          <w:sz w:val="24"/>
        </w:rPr>
        <w:t>), and (ii) the two fiscal quarters following the Acquisition Quarter.</w:t>
      </w:r>
    </w:p>
    <w:p>
      <w:pPr>
        <w:pStyle w:val="TextBody"/>
        <w:bidi w:val="0"/>
        <w:spacing w:lineRule="auto" w:line="288" w:before="0" w:after="240"/>
        <w:jc w:val="both"/>
        <w:rPr/>
      </w:pPr>
      <w:r>
        <w:rPr>
          <w:rFonts w:ascii="Times New Roman;serif" w:hAnsi="Times New Roman;serif"/>
          <w:b w:val="false"/>
          <w:color w:val="000000"/>
          <w:sz w:val="24"/>
        </w:rPr>
        <w:t>As used herein, “</w:t>
      </w:r>
      <w:r>
        <w:rPr>
          <w:rFonts w:ascii="Times New Roman;serif" w:hAnsi="Times New Roman;serif"/>
          <w:b w:val="false"/>
          <w:color w:val="000000"/>
          <w:sz w:val="24"/>
          <w:u w:val="single"/>
        </w:rPr>
        <w:t>Specified Acquisition</w:t>
      </w:r>
      <w:r>
        <w:rPr>
          <w:color w:val="000000"/>
        </w:rPr>
        <w:t xml:space="preserve">” </w:t>
      </w:r>
      <w:r>
        <w:rPr>
          <w:rFonts w:ascii="Times New Roman;serif" w:hAnsi="Times New Roman;serif"/>
          <w:b w:val="false"/>
          <w:color w:val="000000"/>
          <w:sz w:val="24"/>
        </w:rPr>
        <w:t xml:space="preserve">means, at the election of Borrower, one or more acquisitions of assets or entities or operating lines or divisions in any rolling 12-month period for an aggregate purchase price of not less than $100,000,000;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in the event the Debt Coverage Ratio exceeds 5.00 to 1.00 at the end of any fiscal quarter in which one or more acquisitions otherwise qualifying as a Specified Acquisition but for Borrower’s failure to so elect shall have occurred, Borrower shall be deemed to have so elected a Specified Acquisition with respect thereto;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following the election (or deemed election) of a Specified Acquisition, Borrower may not elect (or be deemed to have elected) a subsequent Specified Acquisition unless, at the time of such subsequent election, the Debt Coverage Ratio does not exceed 5.00 to 1.00.</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For purposes of calculating such ratio the Project Finance Subsidiaries shall be disregarded; however, such exclusion does not apply to, and there shall be included in such calculation, the amount of cash dividends or distributions payable with respect to such a period by a Project Finance Subsidiary which are actually received by the Borrower or a Subsidiary (other than a Project Finance Subsidiary) on or prior to the date the financial statements with respect to such </w:t>
      </w:r>
    </w:p>
    <w:p>
      <w:pPr>
        <w:pStyle w:val="TextBody"/>
        <w:bidi w:val="0"/>
        <w:spacing w:before="0" w:after="0"/>
        <w:jc w:val="both"/>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period referred to in </w:t>
      </w:r>
      <w:r>
        <w:rPr>
          <w:rFonts w:ascii="Times New Roman;serif" w:hAnsi="Times New Roman;serif"/>
          <w:b w:val="false"/>
          <w:color w:val="000000"/>
          <w:sz w:val="24"/>
          <w:u w:val="single"/>
        </w:rPr>
        <w:t>Section 5.01</w:t>
      </w:r>
      <w:r>
        <w:rPr>
          <w:color w:val="000000"/>
        </w:rPr>
        <w:t xml:space="preserve"> </w:t>
      </w:r>
      <w:r>
        <w:rPr>
          <w:rFonts w:ascii="Times New Roman;serif" w:hAnsi="Times New Roman;serif"/>
          <w:b w:val="false"/>
          <w:color w:val="000000"/>
          <w:sz w:val="24"/>
        </w:rPr>
        <w:t xml:space="preserve">are required to be delivered by Borrower. For purposes of this </w:t>
      </w:r>
      <w:r>
        <w:rPr>
          <w:rFonts w:ascii="Times New Roman;serif" w:hAnsi="Times New Roman;serif"/>
          <w:b w:val="false"/>
          <w:color w:val="000000"/>
          <w:sz w:val="24"/>
          <w:u w:val="single"/>
        </w:rPr>
        <w:t>Section 6.07</w:t>
      </w:r>
      <w:r>
        <w:rPr>
          <w:rFonts w:ascii="Times New Roman;serif" w:hAnsi="Times New Roman;serif"/>
          <w:b w:val="false"/>
          <w:color w:val="000000"/>
          <w:sz w:val="24"/>
        </w:rPr>
        <w:t xml:space="preserve">, if during any period of four fiscal quarters the Borrower or any Subsidiary acquires any Person (or any interest in any Person) or all or substantially all of the assets of any Person, the EBITDA attributable to such assets or an amount equal to the percentage of ownership of the Borrower or a Subsidiary, as the case may be, in such Person times the EBITDA of such Person, for such period determined on a pro forma basis (which determination, in each case, shall be subject to approval of the Administrative Agent, not to be unreasonably withheld) may be included as Consolidated EBITDA for such period as if such acquisition occurred on the first day of such four fiscal quarter period;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that</w:t>
      </w:r>
      <w:r>
        <w:rPr>
          <w:color w:val="000000"/>
        </w:rPr>
        <w:t xml:space="preserve"> </w:t>
      </w:r>
      <w:r>
        <w:rPr>
          <w:rFonts w:ascii="Times New Roman;serif" w:hAnsi="Times New Roman;serif"/>
          <w:b w:val="false"/>
          <w:color w:val="000000"/>
          <w:sz w:val="24"/>
        </w:rPr>
        <w:t xml:space="preserve">during the portion of such period that follows such acquisition, the computation in respect of the EBITDA of such Person or such assets, as the case may be, shall be made on the basis of actual (rather than pro forma) results. </w:t>
      </w:r>
    </w:p>
    <w:p>
      <w:pPr>
        <w:pStyle w:val="TextBody"/>
        <w:bidi w:val="0"/>
        <w:spacing w:lineRule="auto" w:line="288" w:before="0" w:after="240"/>
        <w:jc w:val="both"/>
        <w:rPr/>
      </w:pPr>
      <w:r>
        <w:rPr>
          <w:rFonts w:ascii="Times New Roman;serif" w:hAnsi="Times New Roman;serif"/>
          <w:b w:val="false"/>
          <w:color w:val="000000"/>
          <w:sz w:val="24"/>
        </w:rPr>
        <w:t xml:space="preserve">In addition, for purposes of this </w:t>
      </w:r>
      <w:r>
        <w:rPr>
          <w:rFonts w:ascii="Times New Roman;serif" w:hAnsi="Times New Roman;serif"/>
          <w:b w:val="false"/>
          <w:color w:val="000000"/>
          <w:sz w:val="24"/>
          <w:u w:val="single"/>
        </w:rPr>
        <w:t>Section 6.07</w:t>
      </w:r>
      <w:r>
        <w:rPr>
          <w:rFonts w:ascii="Times New Roman;serif" w:hAnsi="Times New Roman;serif"/>
          <w:b w:val="false"/>
          <w:color w:val="000000"/>
          <w:sz w:val="24"/>
        </w:rPr>
        <w:t>, Hybrid Securities up to an aggregate amount of 15% of Consolidated Total Capitalization shall be excluded from Consolidated Indebtedness and Consolidated EBITDA may include, at Borrower’s option, any Material Project EBITDA Adjustments as provided in the definition thereof.</w:t>
      </w:r>
    </w:p>
    <w:p>
      <w:pPr>
        <w:pStyle w:val="TextBody"/>
        <w:bidi w:val="0"/>
        <w:spacing w:lineRule="auto" w:line="288" w:before="0" w:after="240"/>
        <w:jc w:val="center"/>
        <w:rPr/>
      </w:pPr>
      <w:r>
        <w:rPr>
          <w:rFonts w:ascii="Times New Roman;serif" w:hAnsi="Times New Roman;serif"/>
          <w:b w:val="false"/>
          <w:color w:val="000000"/>
          <w:sz w:val="24"/>
        </w:rPr>
        <w:t>ARTICLE VII</w:t>
        <w:br/>
        <w:br/>
      </w:r>
      <w:r>
        <w:rPr>
          <w:rFonts w:ascii="Times New Roman;serif" w:hAnsi="Times New Roman;serif"/>
          <w:b w:val="false"/>
          <w:color w:val="000000"/>
          <w:sz w:val="24"/>
          <w:u w:val="single"/>
        </w:rPr>
        <w:t>Events of Default</w:t>
      </w:r>
    </w:p>
    <w:p>
      <w:pPr>
        <w:pStyle w:val="TextBody"/>
        <w:bidi w:val="0"/>
        <w:spacing w:lineRule="auto" w:line="288" w:before="0" w:after="240"/>
        <w:ind w:left="0" w:right="0" w:firstLine="720"/>
        <w:jc w:val="both"/>
        <w:rPr/>
      </w:pPr>
      <w:r>
        <w:rPr>
          <w:rFonts w:ascii="Times New Roman;serif" w:hAnsi="Times New Roman;serif"/>
          <w:b w:val="false"/>
          <w:color w:val="000000"/>
          <w:sz w:val="24"/>
        </w:rPr>
        <w:t>If any of the following events (“</w:t>
      </w:r>
      <w:r>
        <w:rPr>
          <w:rFonts w:ascii="Times New Roman;serif" w:hAnsi="Times New Roman;serif"/>
          <w:b w:val="false"/>
          <w:color w:val="000000"/>
          <w:sz w:val="24"/>
          <w:u w:val="single"/>
        </w:rPr>
        <w:t>Events of Default</w:t>
      </w:r>
      <w:r>
        <w:rPr>
          <w:color w:val="000000"/>
        </w:rPr>
        <w:t>”</w:t>
      </w:r>
      <w:r>
        <w:rPr>
          <w:rFonts w:ascii="Times New Roman;serif" w:hAnsi="Times New Roman;serif"/>
          <w:b w:val="false"/>
          <w:color w:val="000000"/>
          <w:sz w:val="24"/>
        </w:rPr>
        <w:t>) shall occur: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the Borrower shall fail to pay any principal of any Loan when and as the same shall become due and payable, whether at the due date thereof or at a date fixed for prepayment thereof or otherwise;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Borrower shall fail to pay any interest on any Loan or any fee or any other amount (other than an amount referred to in clause (a) of this Article) payable under this Agreement, when and as the same shall become due and payable, and such failure shall continue unremedied for a period of five (5) Business Days;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any representation or warranty made or deemed made by or on behalf of the Borrower, EPD or any Subsidiary of the Borrower in or in connection with this Agreement or any amendment or modification hereof or waiver hereunder, or in any report, certificate, financial statement or other document furnished pursuant to or in connection with this Agreement or any amendment or modification hereof or waiver hereunder, shall prove to have been incorrect in any material respect when made or deemed made and such materiality is continuing;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(d)    the Borrower shall fail to observe or perform any covenant, condition or agreement contained in </w:t>
      </w:r>
      <w:r>
        <w:rPr>
          <w:rFonts w:ascii="Times New Roman;serif" w:hAnsi="Times New Roman;serif"/>
          <w:b w:val="false"/>
          <w:color w:val="000000"/>
          <w:sz w:val="24"/>
          <w:u w:val="single"/>
        </w:rPr>
        <w:t>Section 5.02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5.03</w:t>
      </w:r>
      <w:r>
        <w:rPr>
          <w:color w:val="000000"/>
        </w:rPr>
        <w:t xml:space="preserve"> </w:t>
      </w:r>
      <w:r>
        <w:rPr>
          <w:rFonts w:ascii="Times New Roman;serif" w:hAnsi="Times New Roman;serif"/>
          <w:b w:val="false"/>
          <w:color w:val="000000"/>
          <w:sz w:val="24"/>
        </w:rPr>
        <w:t xml:space="preserve">(with respect to the Borrower’s existence) or </w:t>
      </w:r>
      <w:r>
        <w:rPr>
          <w:rFonts w:ascii="Times New Roman;serif" w:hAnsi="Times New Roman;serif"/>
          <w:b w:val="false"/>
          <w:color w:val="000000"/>
          <w:sz w:val="24"/>
          <w:u w:val="single"/>
        </w:rPr>
        <w:t>5.07</w:t>
      </w:r>
      <w:r>
        <w:rPr>
          <w:color w:val="000000"/>
        </w:rPr>
        <w:t xml:space="preserve"> </w:t>
      </w:r>
      <w:r>
        <w:rPr>
          <w:rFonts w:ascii="Times New Roman;serif" w:hAnsi="Times New Roman;serif"/>
          <w:b w:val="false"/>
          <w:color w:val="000000"/>
          <w:sz w:val="24"/>
        </w:rPr>
        <w:t xml:space="preserve">or in </w:t>
      </w:r>
      <w:r>
        <w:rPr>
          <w:rFonts w:ascii="Times New Roman;serif" w:hAnsi="Times New Roman;serif"/>
          <w:b w:val="false"/>
          <w:color w:val="000000"/>
          <w:sz w:val="24"/>
          <w:u w:val="single"/>
        </w:rPr>
        <w:t>Article VI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the Borrower shall fail to observe or perform any covenant, condition or agreement contained in this Agreement (other than those specified in clause (a), (b) or (d) of this Article), and such failure shall continue unremedied for a period of 30 days after written notice thereof from the Administrative Agent to the Borrower (which notice will be given at the request of any Lender);</w:t>
      </w:r>
    </w:p>
    <w:p>
      <w:pPr>
        <w:pStyle w:val="TextBody"/>
        <w:bidi w:val="0"/>
        <w:spacing w:before="0" w:after="0"/>
        <w:jc w:val="both"/>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the Borrower or any Material Subsidiary (other than Project Finance Subsidiaries) shall (i) fail to pay (A) any principal of or premium or interest on any Material Indebtedness of the Borrower or such Material Subsidiary (as the case may be), or (B) aggregate net obligations under one or more Hedging Agreements (excluding amounts the validity of which are being contested in good faith by appropriate proceedings, if necessary, and for which adequate reserves with respect thereto are maintained on the books of the Borrower or such Material Subsidiary (as the case may be)) in excess of $100,000,000, in each case when the same becomes due and payable (whether by scheduled maturity, required prepayment, acceleration, demand or otherwise), and such failure shall continue after the applicable grace period, if any, specified in the agreement or instrument relating to such Material Indebtedness or such Hedging Agreements; or (ii) default in the observance or performance of any covenant or obligation contained in any agreement or instrument relating to any such Material Indebtedness that in substance is customarily considered a default in loan documents (in each case, other than a failure to pay specified in clause (i) of this subsection (f)) and such default shall continue after the applicable grace period, if any, specified in such agreement or instrument, if the effect thereof is to accelerate the maturity of such Material Indebtedness or require such Material Indebtedness to be prepaid prior to the stated maturity thereof; for the avoidance of doubt the parties acknowledge and agree that any payment required to be made under a guaranty of payment or collection described in clause (c) of the definition of Indebtedness shall be due and payable at the time such payment is due and payable under the terms of such guaranty (taking into account any applicable grace period) and such payment shall be deemed not to have been accelerated or required to be prepaid prior to its stated maturity as a result of the obligation guaranteed having become due;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(g)    an involuntary proceeding shall be commenced or an involuntary petition shall be filed seeking (i) liquidation, reorganization or other relief in respect of the Borrower or any Material Subsidiary (other than Project Finance Subsidiaries) or its debts, or of a substantial part of its assets, under any Federal, state or foreign bankruptcy, insolvency, receivership or similar law now or hereafter in effect or (ii) the appointment of a receiver, trustee, custodian, sequestrator, conservator or similar official for the Borrower or any Material Subsidiary (other than Project Finance Subsidiaries) or for a substantial part of its assets, and, in any such case, such proceeding or petition shall continue undismissed for 60 days or an order or decree approving or ordering any of the foregoing shall be entered;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(h)    the Borrower or any Material Subsidiary (other than Project Finance Subsidiaries)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clause (h) of this Article, (iii) apply for or consent to the appointment of a receiver, trustee, custodian, sequestrator, conservator or similar official for the Borrower or any Material Subsidiary (other than Project Finance Subsidiaries)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the Borrower or any Material Subsidiary (other than Project Finance Subsidiaries) shall become unable, admit in writing its inability or fail generally to pay its debts as they become due;</w:t>
      </w:r>
    </w:p>
    <w:p>
      <w:pPr>
        <w:pStyle w:val="TextBody"/>
        <w:bidi w:val="0"/>
        <w:spacing w:before="0" w:after="0"/>
        <w:jc w:val="both"/>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(j)    one or more judgments for the payment of money in an aggregate uninsured amount equal to or greater than $100,000,000 shall be rendered against the Borrower or any Material Subsidiary (other than Project Finance Subsidiaries) or any combination thereof and the same shall remain undischarged for a period of 30 consecutive days during which execution shall not be effectively stayed, or any action shall be legally taken by a judgment creditor to attach or levy upon any assets of the Borrower or any such Material Subsidiary to enforce any such judgment;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(k)    an ERISA Event shall have occurred that, when taken together with all other ERISA Events that have occurred, could reasonably be expected to result in liability of the Borrower and its Subsidiaries in an aggregate amount exceeding $100,000,000 for all periods;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(l)    EPD takes, suffers or permits to exist any of the events or conditions referred to in clauses (g), (h), (i) or (j) of this Article or if the section of the EPD Guaranty Agreement that contains the payment obligation shall for any reason cease to be valid and binding on EPD or if EPD shall so state in writing;</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(m)    the Manager or Enterprise GP takes, suffers or permits to exist any of the events or conditions referred to in clauses (g), (h) or (i) of this Article;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    a Change in Control shall occur; 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    an “Event of Default” (as defined in the Multi-Year Credit Facility or the 364-Day Credit Facility) shall occur and be continuing;</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then, and in every such event (other than an event with respect to the Borrower described in clause (g) or (h) of this Article), and at any time thereafter during the continuance of such event, the Administrative Agent at the request of the Required Lenders shall, by notice to the Borrower, take either or both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and in case of any event with respect to the Borrower described in clause (g) or (h) of this Article, the Commitments shall automatically terminate and the principal of the Loans then outstanding, together with accrued interest thereon and all fees and other obligations of the Borrower accrued hereunder, shall automatically become due and payable, without presentment, demand, protest or other notice of any kind, all of which are hereby waived by the Borrower.</w:t>
      </w:r>
    </w:p>
    <w:p>
      <w:pPr>
        <w:pStyle w:val="TextBody"/>
        <w:bidi w:val="0"/>
        <w:spacing w:before="0" w:after="0"/>
        <w:jc w:val="both"/>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val="false"/>
          <w:color w:val="000000"/>
          <w:sz w:val="24"/>
        </w:rPr>
        <w:t>ARTICLE VIII</w:t>
        <w:br/>
        <w:br/>
      </w:r>
      <w:r>
        <w:rPr>
          <w:rFonts w:ascii="Times New Roman;serif" w:hAnsi="Times New Roman;serif"/>
          <w:b w:val="false"/>
          <w:color w:val="000000"/>
          <w:sz w:val="24"/>
          <w:u w:val="single"/>
        </w:rPr>
        <w:t>The Administrative Agent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8.01 </w:t>
      </w:r>
      <w:r>
        <w:rPr>
          <w:rFonts w:ascii="Times New Roman;serif" w:hAnsi="Times New Roman;serif"/>
          <w:b w:val="false"/>
          <w:color w:val="000000"/>
          <w:sz w:val="24"/>
          <w:u w:val="single"/>
        </w:rPr>
        <w:t>The Administrative Agent</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of the Lenders hereby irrevocably appoints the Administrative Agent as its agent and authorizes the Administrative Agent to take such actions on its behalf and to exercise such powers as are delegated to the Administrative Agent by the terms hereof, together with such actions and powers as are reasonably incidental thereto.</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bank serving as the Administrative Agent hereunder shall have the same rights and powers in its capacity as a Lender as any other Lender and may exercise the same as though it were not the Administrative Agent, and such bank and its Affiliates may accept deposits from, lend money to and generally engage in any kind of business with the Borrower or any Subsidiary or other Affiliate thereof as if it were not the Administrative Agent hereunder.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Administrative Agent shall not have any duties or obligations except those expressly set forth herein.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hereby that the Administrative Agent is required to exercise in writing by the Required Lenders (or such other number or percentage of the Lenders as shall be necessary under the circumstances as provided in Section 9.02), (c) except as expressly set forth herein, the Administrative Agent shall not have any duty to disclose, and shall not be liable for the failure to disclose, any information relating to the Borrower or any of its Subsidiaries that is communicated to or obtained by the bank serving as Administrative Agent or any of its Affiliates in any capacity and (d) the Administrative Agent will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Federal, state or foreign bankruptcy, insolvency, receivership or similar law or that may effect a forfeiture, modification or termination of property of a Defaulting Lender in violation of any such law. The Administrative Agent shall not be liable to the Lenders for any action taken or not taken by it with the consent or at the request of the Required Lenders (or such other number or percentage of the Lenders as shall be necessary under the circumstances as provided in Section 9.02) or in the absence of its own gross negligence or willful misconduct. The Administrative Agent shall be deemed not to have knowledge of any Default unless and until written notice thereof is given to the Administrative Agent by the Borrower or a Lender, and the Administrative Agent shall not be responsible for or have any duty to ascertain or inquire into (i) any statement, warranty or representation made in or in connection with this Agreement, (ii) the contents of any certificate, report or other document delivered hereunder or in connection herewith, (iii) the performance or observance of any of the covenants, agreements or other terms or conditions set forth herein, (iv) the validity, enforceability, effectiveness or genuineness of this Agreement or any other agreement, instrument or document, or (v) the satisfaction of any condition set forth in Article IV or elsewhere herein, other than to confirm receipt of items expressly required to be delivered to the Administrative Agent.</w:t>
      </w:r>
    </w:p>
    <w:p>
      <w:pPr>
        <w:pStyle w:val="TextBody"/>
        <w:bidi w:val="0"/>
        <w:spacing w:before="0" w:after="0"/>
        <w:jc w:val="both"/>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Administrative Agent shall be entitled to rely upon, and shall not incur any liability for relying upon, any notice, request, certificate, consent, statement, instrument, document or other writing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Administrative Agent may perform any and all its duties and exercise its rights and powers by or through any one or more sub-agents appointed by the Administrative Agent. The Administrative Agent and any such sub-agent may perform any and all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Anything herein to the contrary notwithstanding, neither the Administrative Agent, the Co-Syndication Agents, the Co-Documentation Agents, the Joint Lead Arrangers nor the Joint Bookrunners listed on the cover page hereof shall have any powers, duties or responsibilities under this Agreement, the Notes or any documents related hereto or thereto, except in its capacity, as applicable, as Administrative Agent or a Lender hereunder.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Subject to the appointment and acceptance of a successor Administrative Agent as provided in this paragraph, the Administrative Agent may resign at any time by notifying the Lenders and the Borrower. Upon any such resignation, the Required Lenders shall have the right, with the Borrower’s approval (which will not be unreasonably withheld), to appoint another Lender as successor. If no successor shall have been so appointed by the Required Lenders and shall have accepted such appointment within 30 days after the retiring Administrative Agent gives notice of its resignation, then the retiring Administrative Agent may, with the Borrower’s approval (which will not be unreasonably withheld or delayed, and the Borrower’s approval shall not be required if an Event of Default has occurred which is continuing), on behalf of the Lenders, appoint a successor Administrative Agent which shall be a bank with an office in New York, New York, or an Affiliate of any such bank and such bank, or its Affiliate, as applicable, shall have capital and surplus equal to or greater than $500,000,000. Upon the acceptance of its appointment as Administrative Agent hereunder by a successor, such successor shall succeed to and become vested with all the rights, powers, privileges and duties of the retiring Administrative Agent, and the retiring Administrative Agent shall be discharged from its duties and obligations hereunder. The fees payable by the Borrower to a successor Administrative Agent shall be the same as those payable to its predecessor unless otherwise agreed between the Borrower and such successor. After the Administrative Agent’s resignation hereunder, the provisions of this Article and Section 9.03 shall continue in effect for the benefit of such retiring Administrative Agent, its sub-agents and their respective Related Parties in respect of any actions taken or omitted to be taken by any of them while it was acting as Administrative Agent.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Each Lender acknowledges that it has, independently and without reliance upon the Administrative Agent or any other Lender and based on such documents and information as it </w:t>
      </w:r>
    </w:p>
    <w:p>
      <w:pPr>
        <w:pStyle w:val="TextBody"/>
        <w:bidi w:val="0"/>
        <w:spacing w:before="0" w:after="0"/>
        <w:jc w:val="both"/>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has deemed appropriate, made its own credit analysis and decision to enter into this Agreement and is entering into this Agreement as a Lender for the purpose of making, acquiring, purchasing and/or holding the commercial loan set forth herein and not for the purpose of investing in the general performance or operations of EPD, the Borrower and their Subsidiaries or for the purpose of making, acquiring, purchasing or holding any other type of financial instrument such as a security. Each Lender also acknowledges that it will, independently and without reliance upon the Administrative Agent or any other Lender and based on such documents and information as it shall from time to time deem appropriate, continue to make its own decisions in taking or not taking action under or based upon this Agreement, any related agreement or any document furnished hereunder or thereunder and agrees that it will not assert any claim under any federal or state securities law or otherwise in contravention of this paragraph..</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SECTION 8.02 </w:t>
      </w:r>
      <w:r>
        <w:rPr>
          <w:rFonts w:ascii="Times New Roman;serif" w:hAnsi="Times New Roman;serif"/>
          <w:b w:val="false"/>
          <w:color w:val="000000"/>
          <w:sz w:val="24"/>
          <w:u w:val="single"/>
        </w:rPr>
        <w:t>Erroneous Payments</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If the Administrative Agent (x) notifies a Lender or any Person who has received funds on behalf of a Lender (any such Lender or other recipient (and each of their respective successors and assigns), a “</w:t>
      </w:r>
      <w:r>
        <w:rPr>
          <w:rFonts w:ascii="Times New Roman;serif" w:hAnsi="Times New Roman;serif"/>
          <w:b w:val="false"/>
          <w:color w:val="000000"/>
          <w:sz w:val="24"/>
          <w:u w:val="single"/>
        </w:rPr>
        <w:t>Payment Recipient</w:t>
      </w:r>
      <w:r>
        <w:rPr>
          <w:color w:val="000000"/>
        </w:rPr>
        <w:t>”</w:t>
      </w:r>
      <w:r>
        <w:rPr>
          <w:rFonts w:ascii="Times New Roman;serif" w:hAnsi="Times New Roman;serif"/>
          <w:b w:val="false"/>
          <w:color w:val="000000"/>
          <w:sz w:val="24"/>
        </w:rPr>
        <w:t>) that the Administrative Agent has determined in its sole discretion (whether or not after receipt of any notice under immediately succeeding clause (b)) that any funds (as set forth in such notice from the Administrative Agent) received by such Payment Recipient from the Administrative Agent or any of its Affiliates were erroneously or mistakenly transmitted to, or otherwise erroneously or mistakenly received by, such Payment Recipient (whether or not known to such Lender or other Payment Recipient on its behalf) (any such funds, whether transmitted or received as a payment, prepayment or repayment of principal, interest, fees, distribution or otherwise, individually and collectively, an “</w:t>
      </w:r>
      <w:r>
        <w:rPr>
          <w:rFonts w:ascii="Times New Roman;serif" w:hAnsi="Times New Roman;serif"/>
          <w:b w:val="false"/>
          <w:color w:val="000000"/>
          <w:sz w:val="24"/>
          <w:u w:val="single"/>
        </w:rPr>
        <w:t>Erroneous Payment</w:t>
      </w:r>
      <w:r>
        <w:rPr>
          <w:color w:val="000000"/>
        </w:rPr>
        <w:t>”</w:t>
      </w:r>
      <w:r>
        <w:rPr>
          <w:rFonts w:ascii="Times New Roman;serif" w:hAnsi="Times New Roman;serif"/>
          <w:b w:val="false"/>
          <w:color w:val="000000"/>
          <w:sz w:val="24"/>
        </w:rPr>
        <w:t xml:space="preserve">) and (y) demands in writing the return of such Erroneous Payment (or a portion thereof), such Erroneous Payment shall at all times remain the property of the Administrative Agent pending its return or repayment as contemplated below in this </w:t>
      </w:r>
      <w:r>
        <w:rPr>
          <w:rFonts w:ascii="Times New Roman;serif" w:hAnsi="Times New Roman;serif"/>
          <w:b w:val="false"/>
          <w:color w:val="000000"/>
          <w:sz w:val="24"/>
          <w:u w:val="single"/>
        </w:rPr>
        <w:t>Section 8.02</w:t>
      </w:r>
      <w:r>
        <w:rPr>
          <w:color w:val="000000"/>
        </w:rPr>
        <w:t xml:space="preserve"> </w:t>
      </w:r>
      <w:r>
        <w:rPr>
          <w:rFonts w:ascii="Times New Roman;serif" w:hAnsi="Times New Roman;serif"/>
          <w:b w:val="false"/>
          <w:color w:val="000000"/>
          <w:sz w:val="24"/>
        </w:rPr>
        <w:t>and held in trust for the benefit of the Administrative Agent, and such Lender shall (or, with respect to any Payment Recipient who received such funds on its behalf, shall cause such Payment Recipient to) promptly, but in no event later than two 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clause (a) shall be conclusive, absent manifest error.</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Without limiting immediately preceding clause (a), each Lender or any Person who has received funds on behalf of a Lender (and each of their respective successors and assigns),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w:t>
      </w:r>
    </w:p>
    <w:p>
      <w:pPr>
        <w:pStyle w:val="TextBody"/>
        <w:bidi w:val="0"/>
        <w:spacing w:before="0" w:after="0"/>
        <w:jc w:val="both"/>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payment, prepayment or repayment, (y) that was not preceded or accompanied by a notice of payment, prepayment or repayment sent by the Administrative Agent (or any of its Affiliates), or (z) that such Lender or other such recipient, otherwise becomes aware was transmitted, or received, in error or by mistake (in whole or in part), then in each such case: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it acknowledges and agrees that (A) in the case of immediately preceding clauses (x) or (y), an error and mistake shall be presumed to have been made (absent written confirmation from the Administrative Agent to the contrary) or (B) an error and mistake has been made (in the case of immediately preceding clause (z)), in each case, with respect to such payment, prepayment or repayment; and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(ii)    such Lender shall (and shall cause any other recipient that receives funds on its respective behalf to) promptly (and, in all events, within one Business Day of its knowledge of the occurrence of any of the circumstances described in immediately preceding clauses (x), (y) and (z)) notify the Administrative Agent of its receipt of such payment, prepayment or repayment, the details thereof (in reasonable detail) and that it is so notifying the Administrative Agent pursuant to this </w:t>
      </w:r>
      <w:r>
        <w:rPr>
          <w:rFonts w:ascii="Times New Roman;serif" w:hAnsi="Times New Roman;serif"/>
          <w:b w:val="false"/>
          <w:color w:val="000000"/>
          <w:sz w:val="24"/>
          <w:u w:val="single"/>
        </w:rPr>
        <w:t>Section 8.02(b)</w:t>
      </w:r>
      <w:r>
        <w:rPr>
          <w:rFonts w:ascii="Times New Roman;serif" w:hAnsi="Times New Roman;serif"/>
          <w:b w:val="false"/>
          <w:color w:val="000000"/>
          <w:sz w:val="24"/>
        </w:rPr>
        <w:t xml:space="preserve">. </w:t>
      </w:r>
    </w:p>
    <w:p>
      <w:pPr>
        <w:pStyle w:val="TextBody"/>
        <w:bidi w:val="0"/>
        <w:spacing w:lineRule="auto" w:line="288" w:before="0" w:after="240"/>
        <w:jc w:val="both"/>
        <w:rPr/>
      </w:pPr>
      <w:r>
        <w:rPr>
          <w:rFonts w:ascii="Times New Roman;serif" w:hAnsi="Times New Roman;serif"/>
          <w:b w:val="false"/>
          <w:color w:val="000000"/>
          <w:sz w:val="24"/>
        </w:rPr>
        <w:t xml:space="preserve">For the avoidance of doubt, the failure to deliver a notice to the Administrative Agent pursuant to this </w:t>
      </w:r>
      <w:r>
        <w:rPr>
          <w:rFonts w:ascii="Times New Roman;serif" w:hAnsi="Times New Roman;serif"/>
          <w:b w:val="false"/>
          <w:color w:val="000000"/>
          <w:sz w:val="24"/>
          <w:u w:val="single"/>
        </w:rPr>
        <w:t>Section 8.02(b)</w:t>
      </w:r>
      <w:r>
        <w:rPr>
          <w:color w:val="000000"/>
        </w:rPr>
        <w:t xml:space="preserve"> </w:t>
      </w:r>
      <w:r>
        <w:rPr>
          <w:rFonts w:ascii="Times New Roman;serif" w:hAnsi="Times New Roman;serif"/>
          <w:b w:val="false"/>
          <w:color w:val="000000"/>
          <w:sz w:val="24"/>
        </w:rPr>
        <w:t xml:space="preserve">shall not have any effect on a Payment Recipient’s obligations pursuant to </w:t>
      </w:r>
      <w:r>
        <w:rPr>
          <w:rFonts w:ascii="Times New Roman;serif" w:hAnsi="Times New Roman;serif"/>
          <w:b w:val="false"/>
          <w:color w:val="000000"/>
          <w:sz w:val="24"/>
          <w:u w:val="single"/>
        </w:rPr>
        <w:t>Section 8.02(a)</w:t>
      </w:r>
      <w:r>
        <w:rPr>
          <w:color w:val="000000"/>
        </w:rPr>
        <w:t xml:space="preserve"> </w:t>
      </w:r>
      <w:r>
        <w:rPr>
          <w:rFonts w:ascii="Times New Roman;serif" w:hAnsi="Times New Roman;serif"/>
          <w:b w:val="false"/>
          <w:color w:val="000000"/>
          <w:sz w:val="24"/>
        </w:rPr>
        <w:t>or on whether or not an Erroneous Payment has been made.</w:t>
      </w:r>
    </w:p>
    <w:p>
      <w:pPr>
        <w:pStyle w:val="TextBody"/>
        <w:bidi w:val="0"/>
        <w:spacing w:lineRule="auto" w:line="288"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Each Lender hereby authorizes the Administrative Agent to set off, net and apply any and all amounts at any time owing to such Lender under any loan document, or otherwise payable or distributable by the Administrative Agent to such Lender under any loan document with respect to any payment of principal, interest, fees or other amounts, against any amount that the Administrative Agent has demanded to be returned under immediately preceding clause (a).</w:t>
      </w:r>
    </w:p>
    <w:p>
      <w:pPr>
        <w:pStyle w:val="TextBody"/>
        <w:bidi w:val="0"/>
        <w:spacing w:lineRule="auto" w:line="288"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(i)    In the event that an Erroneous Payment (or portion thereof) is not recovered by the Administrative Agent for any reason, after demand therefor in accordance with immediately preceding clause (a), from any Lender that has received such Erroneous Payment (or portion thereof) (and/or from any Payment Recipient who received such Erroneous Payment (or portion thereof) on its respective behalf) (such unrecovered amount, an “</w:t>
      </w:r>
      <w:r>
        <w:rPr>
          <w:rFonts w:ascii="Times New Roman;serif" w:hAnsi="Times New Roman;serif"/>
          <w:b w:val="false"/>
          <w:color w:val="000000"/>
          <w:sz w:val="24"/>
          <w:u w:val="single"/>
        </w:rPr>
        <w:t>Erroneous Payment Return Deficiency</w:t>
      </w:r>
      <w:r>
        <w:rPr>
          <w:color w:val="000000"/>
        </w:rPr>
        <w:t>”</w:t>
      </w:r>
      <w:r>
        <w:rPr>
          <w:rFonts w:ascii="Times New Roman;serif" w:hAnsi="Times New Roman;serif"/>
          <w:b w:val="false"/>
          <w:color w:val="000000"/>
          <w:sz w:val="24"/>
        </w:rPr>
        <w:t>), upon the Administrative Agent’s notice to such Lender at any time, then effective immediately (with the consideration therefor being acknowledged by the Payment Recipient), (A) such Lender shall be deemed to have assigned its Loans (but not its Commitments) with respect to which such Erroneous Payment was made (the “</w:t>
      </w:r>
      <w:r>
        <w:rPr>
          <w:rFonts w:ascii="Times New Roman;serif" w:hAnsi="Times New Roman;serif"/>
          <w:b w:val="false"/>
          <w:color w:val="000000"/>
          <w:sz w:val="24"/>
          <w:u w:val="single"/>
        </w:rPr>
        <w:t>Erroneous Payment Impacted Class</w:t>
      </w:r>
      <w:r>
        <w:rPr>
          <w:color w:val="000000"/>
        </w:rPr>
        <w:t>”</w:t>
      </w:r>
      <w:r>
        <w:rPr>
          <w:rFonts w:ascii="Times New Roman;serif" w:hAnsi="Times New Roman;serif"/>
          <w:b w:val="false"/>
          <w:color w:val="000000"/>
          <w:sz w:val="24"/>
        </w:rPr>
        <w:t>) in an amount equal to the Erroneous Payment Return Deficiency (or such lesser amount as the Administrative Agent may specify) (such assignment of the Loans (but not Commitments) of the Erroneous Payment Impacted Class, the “</w:t>
      </w:r>
      <w:r>
        <w:rPr>
          <w:rFonts w:ascii="Times New Roman;serif" w:hAnsi="Times New Roman;serif"/>
          <w:b w:val="false"/>
          <w:color w:val="000000"/>
          <w:sz w:val="24"/>
          <w:u w:val="single"/>
        </w:rPr>
        <w:t>Erroneous Payment Deficiency Assignment</w:t>
      </w:r>
      <w:r>
        <w:rPr>
          <w:color w:val="000000"/>
        </w:rPr>
        <w:t>”</w:t>
      </w:r>
      <w:r>
        <w:rPr>
          <w:rFonts w:ascii="Times New Roman;serif" w:hAnsi="Times New Roman;serif"/>
          <w:b w:val="false"/>
          <w:color w:val="000000"/>
          <w:sz w:val="24"/>
        </w:rPr>
        <w:t xml:space="preserve">) (on a cashless basis and such amount calculated at par plus any accrued and unpaid interest (with the assignment fee to be waived by the Administrative Agent in such instance)), and is hereby (together with the Borrower) deemed to execute and deliver an Assignment and Assumption (or, to the extent applicable, an agreement incorporating an Assignment and Assumption by reference pursuant to a Platform as to which the Administrative Agent and such parties are participants) with respect to such Erroneous Payment Deficiency Assignment, and such Lender shall deliver any Notes evidencing such Loans to the Borrower or the Administrative Agent (but the failure of such Person to deliver any such Notes shall not </w:t>
      </w:r>
    </w:p>
    <w:p>
      <w:pPr>
        <w:pStyle w:val="TextBody"/>
        <w:bidi w:val="0"/>
        <w:spacing w:before="0" w:after="0"/>
        <w:jc w:val="both"/>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affect the effectiveness of the foregoing assignment), (B) the Administrative Agent as the assignee Lender shall be deemed to have acquired the Erroneous Payment Deficiency Assignment, (C) upon such deemed acquisition, the Administrative Agent as the assignee Lender shall become a Lender, as applicable, hereunder with respect to such Erroneous Payment Deficiency Assignment and the assigning Lender shall cease to be a Lender, as applicable, hereunder with respect to such Erroneous Payment Deficiency Assignment, excluding, for the avoidance of doubt, its obligations under the indemnification provisions of this Agreement and its applicable Commitments which shall survive as to such assigning Lender, (D) the Administrative Agent and the Borrower shall each be deemed to have waived any consents required under this Agreement to any such Erroneous Payment Deficiency Assignment, and (E) the Administrative Agent will reflect in the Register its ownership interest in the Loans subject to the Erroneous Payment Deficiency Assignment. For the avoidance of doubt, no Erroneous Payment Deficiency Assignment will reduce the Commitments of any Lender and such Commitments shall remain available in accordance with the terms of this Agreement.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(ii)    Subject to </w:t>
      </w:r>
      <w:r>
        <w:rPr>
          <w:rFonts w:ascii="Times New Roman;serif" w:hAnsi="Times New Roman;serif"/>
          <w:b w:val="false"/>
          <w:color w:val="000000"/>
          <w:sz w:val="24"/>
          <w:u w:val="single"/>
        </w:rPr>
        <w:t>Section 9.04</w:t>
      </w:r>
      <w:r>
        <w:rPr>
          <w:rFonts w:ascii="Times New Roman;serif" w:hAnsi="Times New Roman;serif"/>
          <w:b w:val="false"/>
          <w:color w:val="000000"/>
          <w:sz w:val="24"/>
        </w:rPr>
        <w:t>, the Administrative Agent may, in its discretion, sell any Loans acquired pursuant to an Erroneous Payment Deficiency Assignment and upon receipt of the proceeds of such sale, the Erroneous Payment Return Deficiency owing by the applicable Lender shall be reduced by the net proceeds of the sale of such Loan (or portion thereof), and the Administrative Agent shall retain all other rights, remedies and claims against such Lender (and/or against any recipient that receives funds on its respective behalf). In addition, an Erroneous Payment Return Deficiency owing by the applicable Lender (x) shall be reduced by the proceeds of prepayments or repayments of principal and interest, or other distribution in respect of principal and interest, received by the Administrative Agent on or with respect to any such Loans acquired from such Lender pursuant to an Erroneous Payment Deficiency Assignment (to the extent that any such Loans are then owned by the Administrative Agent) and (y) may, in the sole discretion of the Administrative Agent, be reduced by any amount specified by the Administrative Agent in writing to the applicable Lender from time to time.</w:t>
      </w:r>
    </w:p>
    <w:p>
      <w:pPr>
        <w:pStyle w:val="TextBody"/>
        <w:bidi w:val="0"/>
        <w:spacing w:lineRule="auto" w:line="288"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to the rights and interests of such Lender) under the loan documents with respect to such amount (the “</w:t>
      </w:r>
      <w:r>
        <w:rPr>
          <w:rFonts w:ascii="Times New Roman;serif" w:hAnsi="Times New Roman;serif"/>
          <w:b w:val="false"/>
          <w:color w:val="000000"/>
          <w:sz w:val="24"/>
          <w:u w:val="single"/>
        </w:rPr>
        <w:t>Erroneous Payment Subrogation Rights</w:t>
      </w:r>
      <w:r>
        <w:rPr>
          <w:color w:val="000000"/>
        </w:rPr>
        <w:t>”</w:t>
      </w:r>
      <w:r>
        <w:rPr>
          <w:rFonts w:ascii="Times New Roman;serif" w:hAnsi="Times New Roman;serif"/>
          <w:b w:val="false"/>
          <w:color w:val="000000"/>
          <w:sz w:val="24"/>
        </w:rPr>
        <w:t xml:space="preserve">) (provided that the Borrower’s and EPD’s obligations under the loan documents in respect of the Erroneous Payment Subrogation Rights shall not be duplicative of such obligations in respect of Loans that have been assigned to the Administrative Agent under an Erroneous Payment Deficiency Assignment) and (y) an Erroneous Payment shall not pay, prepay, repay, discharge or otherwise satisfy any obligations owed by the Borrower or EPD; provided that this </w:t>
      </w:r>
      <w:r>
        <w:rPr>
          <w:rFonts w:ascii="Times New Roman;serif" w:hAnsi="Times New Roman;serif"/>
          <w:b w:val="false"/>
          <w:color w:val="000000"/>
          <w:sz w:val="24"/>
          <w:u w:val="single"/>
        </w:rPr>
        <w:t>Section 8.02</w:t>
      </w:r>
      <w:r>
        <w:rPr>
          <w:color w:val="000000"/>
        </w:rPr>
        <w:t xml:space="preserve"> </w:t>
      </w:r>
      <w:r>
        <w:rPr>
          <w:rFonts w:ascii="Times New Roman;serif" w:hAnsi="Times New Roman;serif"/>
          <w:b w:val="false"/>
          <w:color w:val="000000"/>
          <w:sz w:val="24"/>
        </w:rPr>
        <w:t xml:space="preserve">shall not be interpreted to increase (or accelerate the due date for), or have the effect of increasing (or accelerating the due date for), the obligations of the Borrower relative to the amount (and/or timing for payment) of the obligations that would have been payable had such Erroneous Payment not been made by the Administrative Agent; provided, further, that for the avoidance of doubt, the immediately preceding clauses (x) and (y) shall not apply to the extent any such Erroneous Payment is, and solely with respect to the amount of such Erroneous Payment that is, </w:t>
      </w:r>
    </w:p>
    <w:p>
      <w:pPr>
        <w:pStyle w:val="TextBody"/>
        <w:bidi w:val="0"/>
        <w:spacing w:before="0" w:after="0"/>
        <w:jc w:val="both"/>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comprised of funds received by the Administrative Agent from the Borrower for the purpose of making such Erroneous Payment.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w:t>
      </w:r>
    </w:p>
    <w:p>
      <w:pPr>
        <w:pStyle w:val="TextBody"/>
        <w:bidi w:val="0"/>
        <w:spacing w:lineRule="auto" w:line="288"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rPr>
        <w:t xml:space="preserve">Each party’s obligations, agreements and waivers under this </w:t>
      </w:r>
      <w:r>
        <w:rPr>
          <w:rFonts w:ascii="Times New Roman;serif" w:hAnsi="Times New Roman;serif"/>
          <w:b w:val="false"/>
          <w:color w:val="000000"/>
          <w:sz w:val="24"/>
          <w:u w:val="single"/>
        </w:rPr>
        <w:t>Section 8.02</w:t>
      </w:r>
      <w:r>
        <w:rPr>
          <w:color w:val="000000"/>
        </w:rPr>
        <w:t xml:space="preserve"> </w:t>
      </w:r>
      <w:r>
        <w:rPr>
          <w:rFonts w:ascii="Times New Roman;serif" w:hAnsi="Times New Roman;serif"/>
          <w:b w:val="false"/>
          <w:color w:val="000000"/>
          <w:sz w:val="24"/>
        </w:rPr>
        <w:t>shall survive the resignation or replacement of the Administrative Agent, any transfer of rights or obligations by, or the replacement of, a Lender, the termination of the Commitments and/or the repayment, satisfaction or discharge of all obligations (or any portion thereof) under any loan document.</w:t>
      </w:r>
    </w:p>
    <w:p>
      <w:pPr>
        <w:pStyle w:val="TextBody"/>
        <w:bidi w:val="0"/>
        <w:spacing w:lineRule="auto" w:line="288" w:before="0" w:after="240"/>
        <w:jc w:val="center"/>
        <w:rPr/>
      </w:pPr>
      <w:r>
        <w:rPr>
          <w:rFonts w:ascii="Times New Roman;serif" w:hAnsi="Times New Roman;serif"/>
          <w:b w:val="false"/>
          <w:color w:val="000000"/>
          <w:sz w:val="24"/>
        </w:rPr>
        <w:t>ARTICLE IX</w:t>
        <w:br/>
        <w:br/>
      </w:r>
      <w:r>
        <w:rPr>
          <w:rFonts w:ascii="Times New Roman;serif" w:hAnsi="Times New Roman;serif"/>
          <w:b w:val="false"/>
          <w:color w:val="000000"/>
          <w:sz w:val="24"/>
          <w:u w:val="single"/>
        </w:rPr>
        <w:t>Miscellaneous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9.01. </w:t>
      </w:r>
      <w:r>
        <w:rPr>
          <w:rFonts w:ascii="Times New Roman;serif" w:hAnsi="Times New Roman;serif"/>
          <w:b w:val="false"/>
          <w:color w:val="000000"/>
          <w:sz w:val="24"/>
          <w:u w:val="single"/>
        </w:rPr>
        <w:t>Notices</w:t>
      </w:r>
      <w:r>
        <w:rPr>
          <w:rFonts w:ascii="Times New Roman;serif" w:hAnsi="Times New Roman;serif"/>
          <w:b w:val="false"/>
          <w:color w:val="000000"/>
          <w:sz w:val="24"/>
        </w:rPr>
        <w:t xml:space="preserve">. Except in the case of notices and other communications expressly permitted to be given by telephone, and except as provided in </w:t>
      </w:r>
      <w:r>
        <w:rPr>
          <w:rFonts w:ascii="Times New Roman;serif" w:hAnsi="Times New Roman;serif"/>
          <w:b w:val="false"/>
          <w:color w:val="000000"/>
          <w:sz w:val="24"/>
          <w:u w:val="single"/>
        </w:rPr>
        <w:t>Section 9.01(e)</w:t>
      </w:r>
      <w:r>
        <w:rPr>
          <w:rFonts w:ascii="Times New Roman;serif" w:hAnsi="Times New Roman;serif"/>
          <w:b w:val="false"/>
          <w:color w:val="000000"/>
          <w:sz w:val="24"/>
        </w:rPr>
        <w:t>, all notices and other communications provided for herein shall be in writing and shall be delivered by hand or overnight courier service, mailed by certified or registered mail or sent by telecopy, as follows:</w:t>
      </w:r>
    </w:p>
    <w:p>
      <w:pPr>
        <w:pStyle w:val="TextBody"/>
        <w:bidi w:val="0"/>
        <w:spacing w:lineRule="auto" w:line="288" w:before="0" w:after="240"/>
        <w:ind w:left="0" w:right="0" w:firstLine="720"/>
        <w:jc w:val="both"/>
        <w:rPr/>
      </w:pPr>
      <w:r>
        <w:rPr>
          <w:rFonts w:ascii="Times New Roman;serif" w:hAnsi="Times New Roman;serif"/>
          <w:b w:val="false"/>
          <w:color w:val="000000"/>
          <w:sz w:val="24"/>
        </w:rPr>
        <w:t>(a)    if to the Borrower, to it at 1100 Louisiana Street, 10</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Floor, Houston, Texas 77002, Attention of Treasurer (Telecopy No. 713/381-8200);</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if to the Administrative Agent, to Citibank, N.A. Delaware, 1615 Brett Road, OPS III, New Castle, DE 19720; Attn: Agency Operations, Phone: (302) 894-6010, Fax: (646) 274-5080, Borrower inquiries: AgencyABTFSupport@citi.com, Borrower notices and notifications: usagencyservicing@citi.com, Disclosure Team Mail (Financial Reporting): namdisclosureunit@citi.com; with a copy to 811 Main St., Houston TX 77002, Attention: Enterprise Products Account Officer; Telecopy: (713) 481-0247;</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    reserved;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if to any other Lender, to it at its address (or telecopy number) of record with the Administrative Agent, which Administrative Agent shall provide to the Borrower or any Lender upon request from time to time;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    The Borrower will have the option to provide to the Administrative Agent all information, documents and other materials that it is obligated to furnish to the Administrative Agent pursuant to this Agreement or any other document executed in connection herewith, including, without limitation, all notices, requests, financial statements, financial and other reports, certificates and other information materials, but excluding any such communication that (i) relates to a request for a new, or a conversion of an existing, Borrowing or other extension of credit (including any election of an interest rate or Interest Period relating thereto), (ii) relates to the payment of any principal or other amount due under this Agreement prior to the scheduled </w:t>
      </w:r>
    </w:p>
    <w:p>
      <w:pPr>
        <w:pStyle w:val="TextBody"/>
        <w:bidi w:val="0"/>
        <w:spacing w:before="0" w:after="0"/>
        <w:jc w:val="both"/>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date therefor, (iii) provides notice of any Default or Event of Default, or (iv) other than the requirements set forth in </w:t>
      </w:r>
      <w:r>
        <w:rPr>
          <w:rFonts w:ascii="Times New Roman;serif" w:hAnsi="Times New Roman;serif"/>
          <w:b w:val="false"/>
          <w:color w:val="000000"/>
          <w:sz w:val="24"/>
          <w:u w:val="single"/>
        </w:rPr>
        <w:t>Sections 3.04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4.01(i)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5.01</w:t>
      </w:r>
      <w:r>
        <w:rPr>
          <w:rFonts w:ascii="Times New Roman;serif" w:hAnsi="Times New Roman;serif"/>
          <w:b w:val="false"/>
          <w:color w:val="000000"/>
          <w:sz w:val="24"/>
        </w:rPr>
        <w:t>, is required to be delivered to satisfy any condition precedent to the effectiveness of this Agreement and/or any Borrowing or any other extension of credit hereunder (all such non-excluded communications being referred to herein collectively as “</w:t>
      </w:r>
      <w:r>
        <w:rPr>
          <w:rFonts w:ascii="Times New Roman;serif" w:hAnsi="Times New Roman;serif"/>
          <w:b w:val="false"/>
          <w:color w:val="000000"/>
          <w:sz w:val="24"/>
          <w:u w:val="single"/>
        </w:rPr>
        <w:t>Communications</w:t>
      </w:r>
      <w:r>
        <w:rPr>
          <w:color w:val="000000"/>
        </w:rPr>
        <w:t>”</w:t>
      </w:r>
      <w:r>
        <w:rPr>
          <w:rFonts w:ascii="Times New Roman;serif" w:hAnsi="Times New Roman;serif"/>
          <w:b w:val="false"/>
          <w:color w:val="000000"/>
          <w:sz w:val="24"/>
        </w:rPr>
        <w:t>), by transmitting the Communications in an electronic/soft medium in a format acceptable to the Administrative Agent. The Borrower further agrees that the Administrative Agent may make the Communications available to the Lenders by posting the Communications on DebtDomain, SyndTrak or a substantially similar electronic transmission system (the “</w:t>
      </w:r>
      <w:r>
        <w:rPr>
          <w:rFonts w:ascii="Times New Roman;serif" w:hAnsi="Times New Roman;serif"/>
          <w:b w:val="false"/>
          <w:color w:val="000000"/>
          <w:sz w:val="24"/>
          <w:u w:val="single"/>
        </w:rPr>
        <w:t>Platform</w:t>
      </w:r>
      <w:r>
        <w:rPr>
          <w:color w:val="000000"/>
        </w:rPr>
        <w:t>”</w:t>
      </w:r>
      <w:r>
        <w:rPr>
          <w:rFonts w:ascii="Times New Roman;serif" w:hAnsi="Times New Roman;serif"/>
          <w:b w:val="false"/>
          <w:color w:val="000000"/>
          <w:sz w:val="24"/>
        </w:rPr>
        <w:t xml:space="preserve">). The Borrower acknowledges that the distribution of material through an electronic medium is not necessarily secure and that there are confidentiality and other risks associated with such distribution. </w:t>
      </w:r>
      <w:r>
        <w:rPr>
          <w:rFonts w:ascii="Times New Roman;serif" w:hAnsi="Times New Roman;serif"/>
          <w:b/>
          <w:color w:val="000000"/>
          <w:sz w:val="24"/>
          <w:u w:val="single"/>
        </w:rPr>
        <w:t>The Platform is provided “as is” and “as available”. The Agent Parties (as defined below) do not warrant the accuracy or completeness of the Communications, or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 party rights or freedom from viruses or other code defects, is made by the Agent Parties in connection with the Communications or the Platform. In no event shall the Administrative Agent or any of its affiliates or any of their respective officers, directors, employees, agents, advisors or representatives (collectively, “Agent Parties”) have any liability to the Borrower, any Lender or any other Person or entity for damages of any kind, including, without limitation, direct or indirect, special, incidental or consequential damages, losses or expenses (whether in tort, contract or otherwise) arising out of the Borrower’s or the Administrative Agent’s transmission of Communications through the internet, except to the extent the liability of any Agent Party is found in a final non-appealable judgment by a court of competent jurisdiction to have resulted primarily from such Agent Party’s gross negligence or willful misconduct</w:t>
      </w:r>
      <w:r>
        <w:rPr>
          <w:rFonts w:ascii="Times New Roman;serif" w:hAnsi="Times New Roman;serif"/>
          <w:b w:val="false"/>
          <w:color w:val="000000"/>
          <w:sz w:val="24"/>
        </w:rPr>
        <w:t>. The Administrative Agent agrees that the receipt of the Communications by the Administrative Agent at its e-mail address as specified by the Administrative Agent from time to time shall constitute effective delivery of the Communications to the Administrative Agent for purposes of this Agreement and any other documents executed in connection herewith. Each of the Lenders agrees that notice to it (as provided in the next sentence) specifying that the Communications have been posted to the Platform shall constitute effective delivery of the Communications to such Lender for purposes of this Agreement and any other documents executed in connection herewith. Each of the Lenders agrees (i) to notify the Administrative Agent in writing (including by electronic communication) from time to time of such Lender’s e-mail address to which the foregoing notice may be sent by electronic transmission, and (ii) that the foregoing notice may be sent to such e-mail address. Nothing herein shall prejudice the right of the Administrative Agent or any Lender to give any notice or other communication pursuant hereto or any other document executed in connection herewith in any other manner specified herein or therein.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Any party hereto may change its address or telecopy number for notices and other communications hereunder by notice to the other parties hereto. All notices and other communications given to any party hereto in accordance with the provisions of this Agreement shall be deemed to have been given on the date of receipt.</w:t>
      </w:r>
    </w:p>
    <w:p>
      <w:pPr>
        <w:pStyle w:val="TextBody"/>
        <w:bidi w:val="0"/>
        <w:spacing w:before="0" w:after="0"/>
        <w:jc w:val="both"/>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9.02. </w:t>
      </w:r>
      <w:r>
        <w:rPr>
          <w:rFonts w:ascii="Times New Roman;serif" w:hAnsi="Times New Roman;serif"/>
          <w:b w:val="false"/>
          <w:color w:val="000000"/>
          <w:sz w:val="24"/>
          <w:u w:val="single"/>
        </w:rPr>
        <w:t>Waivers; Amendments</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No failure or delay by the Administrative Agent or any Lender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and the Lenders hereunder are cumulative and are not exclusive of any rights or remedies that they would otherwise have. No waiver of any provision of this Agreement or consent to any departure by the Borrower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shall not be construed as a waiver of any Default, regardless of whether the Administrative Agent or any Lender may have had notice or knowledge of such Default at the time.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    Neither this Agreement nor any provision hereof may be waived, amended or modified except pursuant to an agreement or agreements in writing entered into by the Borrower and the Required Lenders or by the Borrower and the Administrative Agent with the consent of the Required Lenders;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that</w:t>
      </w:r>
      <w:r>
        <w:rPr>
          <w:color w:val="000000"/>
        </w:rPr>
        <w:t xml:space="preserve"> </w:t>
      </w:r>
      <w:r>
        <w:rPr>
          <w:rFonts w:ascii="Times New Roman;serif" w:hAnsi="Times New Roman;serif"/>
          <w:b w:val="false"/>
          <w:color w:val="000000"/>
          <w:sz w:val="24"/>
        </w:rPr>
        <w:t xml:space="preserve">no such agreement shall (i) increase or extend the Commitment of any Lender without the written consent of such Lender, (ii) reduce the principal amount of any Loan or reduce the rate of interest thereon, or reduce any fees payable hereunder, without the written consent of each Lender affected thereby, (iii) postpone the scheduled date of payment of the principal amount of any Loan or any interest thereon, or any fees payable hereunder, or reduce the amount of, waive or excuse any such payment, or postpone the scheduled date of expiration of any Commitment, without the written consent of each Lender affected thereby, (iv) change </w:t>
      </w:r>
      <w:r>
        <w:rPr>
          <w:rFonts w:ascii="Times New Roman;serif" w:hAnsi="Times New Roman;serif"/>
          <w:b w:val="false"/>
          <w:color w:val="000000"/>
          <w:sz w:val="24"/>
          <w:u w:val="single"/>
        </w:rPr>
        <w:t>Section 2.18(b)</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(c)</w:t>
      </w:r>
      <w:r>
        <w:rPr>
          <w:color w:val="000000"/>
        </w:rPr>
        <w:t xml:space="preserve"> </w:t>
      </w:r>
      <w:r>
        <w:rPr>
          <w:rFonts w:ascii="Times New Roman;serif" w:hAnsi="Times New Roman;serif"/>
          <w:b w:val="false"/>
          <w:color w:val="000000"/>
          <w:sz w:val="24"/>
        </w:rPr>
        <w:t xml:space="preserve">in a manner that would alter the pro rata sharing of payments required thereby, without the written consent of each Lender, (v) release EPD from any of its monetary obligations under the EPD Guaranty Agreement without the written consent of each Lender, or (vi) change any of the provisions of this Section or the definition of “Required Lenders” or any other provision hereof specifying the number or percentage of Lenders required to waive, amend or modify any rights hereunder or make any determination or grant any consent hereunder, without the written consent of each Lender; </w:t>
      </w:r>
      <w:r>
        <w:rPr>
          <w:rFonts w:ascii="Times New Roman;serif" w:hAnsi="Times New Roman;serif"/>
          <w:b w:val="false"/>
          <w:color w:val="000000"/>
          <w:sz w:val="24"/>
          <w:u w:val="single"/>
        </w:rPr>
        <w:t>provided further</w:t>
      </w:r>
      <w:r>
        <w:rPr>
          <w:color w:val="000000"/>
        </w:rPr>
        <w:t xml:space="preserve"> </w:t>
      </w:r>
      <w:r>
        <w:rPr>
          <w:rFonts w:ascii="Times New Roman;serif" w:hAnsi="Times New Roman;serif"/>
          <w:b w:val="false"/>
          <w:color w:val="000000"/>
          <w:sz w:val="24"/>
        </w:rPr>
        <w:t xml:space="preserve">that no such agreement shall amend, modify or otherwise affect the rights or duties of the Administrative Agent hereunder without the prior written consent of the Administrative Agent; </w:t>
      </w:r>
      <w:r>
        <w:rPr>
          <w:rFonts w:ascii="Times New Roman;serif" w:hAnsi="Times New Roman;serif"/>
          <w:b w:val="false"/>
          <w:color w:val="000000"/>
          <w:sz w:val="24"/>
          <w:u w:val="single"/>
        </w:rPr>
        <w:t>provided further</w:t>
      </w:r>
      <w:r>
        <w:rPr>
          <w:color w:val="000000"/>
        </w:rPr>
        <w:t xml:space="preserve"> </w:t>
      </w:r>
      <w:r>
        <w:rPr>
          <w:rFonts w:ascii="Times New Roman;serif" w:hAnsi="Times New Roman;serif"/>
          <w:b w:val="false"/>
          <w:color w:val="000000"/>
          <w:sz w:val="24"/>
        </w:rPr>
        <w:t xml:space="preserve">(x) the Administrative Agent and the Borrower shall be permitted to amend any provision hereof (and such amendment shall become effective without any further action or consent of any other party hereto) if the Administrative Agent and the Borrower shall have jointly identified an obvious error or any error, ambiguity, defect or inconsistency or omission of a technical or immaterial nature in any such provision and (y) the Administrative Agent (and, if applicable, the Borrower) may, without the consent of any Lender, enter into amendments or modifications to this Agreement or any of the other loan documents or enter into additional loan documents as the Administrative Agent reasonably deems appropriate in order to implement any Benchmark Replacement or any Conforming Changes or otherwise effectuate the terms of </w:t>
      </w:r>
      <w:r>
        <w:rPr>
          <w:rFonts w:ascii="Times New Roman;serif" w:hAnsi="Times New Roman;serif"/>
          <w:b w:val="false"/>
          <w:color w:val="000000"/>
          <w:sz w:val="24"/>
          <w:u w:val="single"/>
        </w:rPr>
        <w:t>Section 2.14(c)</w:t>
      </w:r>
      <w:r>
        <w:rPr>
          <w:color w:val="000000"/>
        </w:rPr>
        <w:t xml:space="preserve"> </w:t>
      </w:r>
      <w:r>
        <w:rPr>
          <w:rFonts w:ascii="Times New Roman;serif" w:hAnsi="Times New Roman;serif"/>
          <w:b w:val="false"/>
          <w:color w:val="000000"/>
          <w:sz w:val="24"/>
        </w:rPr>
        <w:t xml:space="preserve">(subject to any requirement of Administrative Agent to consult with Borrower that is expressly provided therein) in accordance with the terms thereof. Anything herein to the contrary notwithstanding, during such period as a Lender is a Defaulting Lender, to the fullest extent permitted by applicable law, such Lender will not be entitled to vote </w:t>
      </w:r>
    </w:p>
    <w:p>
      <w:pPr>
        <w:pStyle w:val="TextBody"/>
        <w:bidi w:val="0"/>
        <w:spacing w:before="0" w:after="0"/>
        <w:jc w:val="both"/>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in respect of amendments and waivers hereunder and the Commitment and the outstanding Loans or other extensions of credit of such Lender hereunder will not be taken into account in determining whether the Required Lenders or all of the Lenders, as required, have approved any such amendment or waiver (and the definition of “Required Lenders” will automatically be deemed modified accordingly for the duration of such period); </w:t>
      </w:r>
      <w:r>
        <w:rPr>
          <w:rFonts w:ascii="Times New Roman;serif" w:hAnsi="Times New Roman;serif"/>
          <w:b w:val="false"/>
          <w:color w:val="000000"/>
          <w:sz w:val="24"/>
          <w:u w:val="single"/>
        </w:rPr>
        <w:t>provided</w:t>
      </w:r>
      <w:r>
        <w:rPr>
          <w:rFonts w:ascii="Times New Roman;serif" w:hAnsi="Times New Roman;serif"/>
          <w:b w:val="false"/>
          <w:color w:val="000000"/>
          <w:sz w:val="24"/>
        </w:rPr>
        <w:t>, that any such amendment or waiver that would increase or extend the term of the Commitment of such Defaulting Lender, extend the date fixed for the payment of principal or interest owing to such Defaulting Lender hereunder, reduce the principal amount of any obligation owing to such Defaulting Lender, reduce the amount of or the rate or amount of interest on any amount owing to such Defaulting Lender or of any fee payable to such Defaulting Lender hereunder, or alter the terms of this proviso, will require the consent of such Defaulting Lender.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9.03. </w:t>
      </w:r>
      <w:r>
        <w:rPr>
          <w:rFonts w:ascii="Times New Roman;serif" w:hAnsi="Times New Roman;serif"/>
          <w:b w:val="false"/>
          <w:color w:val="000000"/>
          <w:sz w:val="24"/>
          <w:u w:val="single"/>
        </w:rPr>
        <w:t>Expenses; Indemnity; Damage Waiver</w:t>
      </w:r>
      <w:r>
        <w:rPr>
          <w:rFonts w:ascii="Times New Roman;serif" w:hAnsi="Times New Roman;serif"/>
          <w:b w:val="false"/>
          <w:color w:val="000000"/>
          <w:sz w:val="24"/>
        </w:rPr>
        <w:t xml:space="preserve">. (a)  The Borrower shall pay (i) all reasonable out-of-pocket expenses incurred by the Administrative Agent and its Affiliates, including the reasonable fees, charges and disbursements of one law firm as counsel for the Administrative Agent, in connection with the syndication (prior to the Effective Date) of the credit facilities provided for herein, the preparation and administration of this Agreement or any amendments, modifications or waivers of the provisions hereof (whether or not the transactions contemplated hereby or thereby shall be consummated), and (ii) all out-of-pocket expenses reasonably incurred during the existence of an Event of Default by the Administrative Agent or any Lender, including the fees, charges and disbursements of any counsel for the Administrative Agent or any Lender, in connection with the enforcement or protection of its rights in connection with this Agreement, including its rights under this Section, or in connection with the Loans made hereunder, including all such out-of-pocket expenses incurred during any workout, restructuring or negotiations in respect of such Loans. </w:t>
      </w:r>
    </w:p>
    <w:p>
      <w:pPr>
        <w:pStyle w:val="TextBody"/>
        <w:bidi w:val="0"/>
        <w:spacing w:lineRule="auto" w:line="288" w:before="0" w:after="240"/>
        <w:ind w:left="0" w:right="0" w:firstLine="720"/>
        <w:jc w:val="both"/>
        <w:rPr/>
      </w:pPr>
      <w:r>
        <w:rPr>
          <w:rFonts w:ascii="Times New Roman;serif" w:hAnsi="Times New Roman;serif"/>
          <w:b w:val="false"/>
          <w:color w:val="000000"/>
          <w:sz w:val="24"/>
        </w:rPr>
        <w:t>(b)    The Borrower shall indemnify the Administrative Agent and each Lender, and each Related Party of any of the foregoing Persons (each such Person being called an “</w:t>
      </w:r>
      <w:r>
        <w:rPr>
          <w:rFonts w:ascii="Times New Roman;serif" w:hAnsi="Times New Roman;serif"/>
          <w:b w:val="false"/>
          <w:color w:val="000000"/>
          <w:sz w:val="24"/>
          <w:u w:val="single"/>
        </w:rPr>
        <w:t>Indemnitee</w:t>
      </w:r>
      <w:r>
        <w:rPr>
          <w:color w:val="000000"/>
        </w:rPr>
        <w:t>”</w:t>
      </w:r>
      <w:r>
        <w:rPr>
          <w:rFonts w:ascii="Times New Roman;serif" w:hAnsi="Times New Roman;serif"/>
          <w:b w:val="false"/>
          <w:color w:val="000000"/>
          <w:sz w:val="24"/>
        </w:rPr>
        <w:t xml:space="preserve">) against, and hold each Indemnitee harmless from, any and all losses, claims, damages, liabilities and related expenses, including the fees, charges and disbursements of any counsel for any Indemnitee, incurred by or asserted against any Indemnitee arising out of, in connection with, or as a result of (i) the execution or delivery of this Agreement or any agreement or instrument contemplated hereby, the performance by the parties hereto of their respective obligations hereunder or the consummation of the Transactions or any other transactions contemplated hereby, (ii) any Loan or the use of the proceeds therefrom, (iii) any actual or alleged presence or release of Hazardous Materials on or from any property owned or operated by the Borrower or any of its Subsidiaries, or any Environmental Liability related in any way to the Borrower or any of its Subsidiaries, or (iv) any actual or prospective claim, litigation, investigation or proceeding relating to any of the foregoing, whether based on contract, tort or any other theory and regardless of whether any Indemnitee is a party thereto;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that</w:t>
      </w:r>
      <w:r>
        <w:rPr>
          <w:color w:val="000000"/>
        </w:rPr>
        <w:t xml:space="preserve"> </w:t>
      </w:r>
      <w:r>
        <w:rPr>
          <w:rFonts w:ascii="Times New Roman;serif" w:hAnsi="Times New Roman;serif"/>
          <w:b w:val="false"/>
          <w:color w:val="000000"/>
          <w:sz w:val="24"/>
        </w:rPr>
        <w:t>such indemnity shall not, as to any Indemnitee, be available (x) to the extent that such losses, claims, damages, liabilities or related expenses resulted from the gross negligence or willful misconduct of such Indemnitee or any Related Party of such Indemnitee, or (y) in connection with disputes among or between the Administrative Agent, Lenders and/or their respective Related Parties.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    To the extent that the Borrower fails to pay any amount required to be paid by it to the Administrative Agent under paragraph (a) or (b) of this Section, each Lender severally </w:t>
      </w:r>
    </w:p>
    <w:p>
      <w:pPr>
        <w:pStyle w:val="TextBody"/>
        <w:bidi w:val="0"/>
        <w:spacing w:before="0" w:after="0"/>
        <w:jc w:val="both"/>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agrees to pay to the Administrative Agent, such Lender’s Applicable Percentage (determined as of the time that the applicable unreimbursed expense or indemnity payment is sought) of such unpaid amount;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that</w:t>
      </w:r>
      <w:r>
        <w:rPr>
          <w:color w:val="000000"/>
        </w:rPr>
        <w:t xml:space="preserve"> </w:t>
      </w:r>
      <w:r>
        <w:rPr>
          <w:rFonts w:ascii="Times New Roman;serif" w:hAnsi="Times New Roman;serif"/>
          <w:b w:val="false"/>
          <w:color w:val="000000"/>
          <w:sz w:val="24"/>
        </w:rPr>
        <w:t>the unreimbursed expense or indemnified loss, claim, damage, liability or related expense, as the case may be, was incurred by or asserted against the Administrative Agent in its capacity as such.</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To the extent permitted by applicable law, the Borrower shall not assert, and hereby waives, any claim against any Indemnitee, on any theory of liability, for indirect, special, consequential or punitive damages (as opposed to direct or actual damages) arising out of, in connection with, or as a result of, this Agreement or any agreement or instrument contemplated hereby, the Transactions, any Loan or the use of the proceeds thereof.</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All amounts due under this Section shall be payable not later than 30 days after written demand therefor, such demand to be in reasonable detail setting forth the basis for and method of calculation of such amounts.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9.04. </w:t>
      </w:r>
      <w:r>
        <w:rPr>
          <w:rFonts w:ascii="Times New Roman;serif" w:hAnsi="Times New Roman;serif"/>
          <w:b w:val="false"/>
          <w:color w:val="000000"/>
          <w:sz w:val="24"/>
          <w:u w:val="single"/>
        </w:rPr>
        <w:t>Successors and Assigns</w:t>
      </w:r>
      <w:r>
        <w:rPr>
          <w:rFonts w:ascii="Times New Roman;serif" w:hAnsi="Times New Roman;serif"/>
          <w:b w:val="false"/>
          <w:color w:val="000000"/>
          <w:sz w:val="24"/>
        </w:rPr>
        <w:t>. (a) The provisions of this Agreement shall be binding upon and inure to the benefit of the parties hereto and their respective successors and assigns permitted hereby, except that the Borrower may not assign or otherwise transfer any of its rights or obligations hereunder without the prior written consent of each Lender (and any attempted assignment or transfer by the Borrower without such consent shall be null and void). Nothing in this Agreement, expressed or implied, shall be construed to confer upon any Person (other than the parties hereto, their respective successors and assigns permitted hereby and, to the extent expressly contemplated hereby, the Related Parties of each of the Administrative Agent and the Lenders) any legal or equitable right, remedy or claim under or by reason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    Any Lender may assign to one or more assignees (other than the Borrower, EPD, any of their Affiliates or a Defaulting Lender or any of their respective subsidiaries, or any Person who, upon becoming a Lender hereunder, would constitute any of the foregoing Persons described in this parenthetical) all or a portion of its rights and obligations under this Agreement (including all or a portion of its Commitment and the Loans at the time owing to it);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 except in the case of an assignment to a Lender or an Affiliate of a Lender (or a lender or an affiliate of a lender under the Multi-Year Credit Facility or the 364-Day Credit Facility), each of the Borrower and the Administrative Agent must give their prior written consent to such assignment (which consent shall not be unreasonably withheld or delayed), (ii) except in the case of an assignment to a Lender or an Affiliate of a Lender or an assignment of the entire remaining amount of the assigning Lender’s Commitment, the amount of the Commitment of the assigning Lender subject to each such assignment (determined as of the date the Assignment and Assumption with respect to such assignment is delivered to the Administrative Agent) shall not be less than $5,000,000 unless each of the Borrower and the Administrative Agent otherwise consent, (iii) each partial assignment shall result in the assignor retaining a Commitment of not less than $10,000,000 and shall be made as an assignment of a proportionate part of all the assigning Lender’s rights and obligations under this Agreement, (iv) the parties (other than the Borrower) to each assignment shall execute and deliver to the Administrative Agent an Assignment and Assumption, together with a processing and recordation fee of $3,500 (such fee waivable at Administrative Agent’s sole discretion) , (v) the assignee, if it shall not be a Lender, shall deliver to the Administrative Agent an Administrative Questionnaire and (vi) no </w:t>
      </w:r>
    </w:p>
    <w:p>
      <w:pPr>
        <w:pStyle w:val="TextBody"/>
        <w:bidi w:val="0"/>
        <w:spacing w:before="0" w:after="0"/>
        <w:jc w:val="both"/>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assignment to a foreign bank shall be made hereunder unless, at the time of such assignment, there is no withholding tax applicable with respect to such foreign bank for which the Borrower would be or become responsible under </w:t>
      </w:r>
      <w:r>
        <w:rPr>
          <w:rFonts w:ascii="Times New Roman;serif" w:hAnsi="Times New Roman;serif"/>
          <w:b w:val="false"/>
          <w:color w:val="000000"/>
          <w:sz w:val="24"/>
          <w:u w:val="single"/>
        </w:rPr>
        <w:t>Section 2.17</w:t>
      </w:r>
      <w:r>
        <w:rPr>
          <w:rFonts w:ascii="Times New Roman;serif" w:hAnsi="Times New Roman;serif"/>
          <w:b w:val="false"/>
          <w:color w:val="000000"/>
          <w:sz w:val="24"/>
        </w:rPr>
        <w:t xml:space="preserve">; and </w:t>
      </w:r>
      <w:r>
        <w:rPr>
          <w:rFonts w:ascii="Times New Roman;serif" w:hAnsi="Times New Roman;serif"/>
          <w:b w:val="false"/>
          <w:color w:val="000000"/>
          <w:sz w:val="24"/>
          <w:u w:val="single"/>
        </w:rPr>
        <w:t>provided further</w:t>
      </w:r>
      <w:r>
        <w:rPr>
          <w:color w:val="000000"/>
        </w:rPr>
        <w:t xml:space="preserve"> </w:t>
      </w:r>
      <w:r>
        <w:rPr>
          <w:rFonts w:ascii="Times New Roman;serif" w:hAnsi="Times New Roman;serif"/>
          <w:b w:val="false"/>
          <w:color w:val="000000"/>
          <w:sz w:val="24"/>
        </w:rPr>
        <w:t xml:space="preserve">that any consent of the Borrower otherwise required under this paragraph shall not be required if an Event of Default has occurred and is continuing. Subject to acceptance and recording thereof pursuant to paragraph (d)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serif" w:hAnsi="Times New Roman;serif"/>
          <w:b w:val="false"/>
          <w:color w:val="000000"/>
          <w:sz w:val="24"/>
          <w:u w:val="single"/>
        </w:rPr>
        <w:t>Sections 2.15</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2.16</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2.17</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9.03</w:t>
      </w:r>
      <w:r>
        <w:rPr>
          <w:color w:val="000000"/>
        </w:rPr>
        <w:t xml:space="preserve"> </w:t>
      </w:r>
      <w:r>
        <w:rPr>
          <w:rFonts w:ascii="Times New Roman;serif" w:hAnsi="Times New Roman;serif"/>
          <w:b w:val="false"/>
          <w:color w:val="000000"/>
          <w:sz w:val="24"/>
        </w:rPr>
        <w:t>as to matters occurring on or prior to date of assignment). Any assignment or transfer by a Lender of rights or obligations under this Agreement that does not comply with this paragraph shall be treated for purposes of this Agreement as a sale by such Lender of a participation in such rights and obligations in accordance with paragraph (e) of this Section.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(c)    The Administrative Agent, acting for this purpose as an agent of the Borrower, shall maintain at one of its offices in The City of New York, the address of which shall be made available to any party to this Agreement upon request: a copy of each Assignment and Assumption delivered to it and a register for the recordation of the names and addresses of the Lenders, and the Commitment of, and principal amount of the Loans owing to, each Lender pursuant to the terms hereof from time to time (the “</w:t>
      </w:r>
      <w:r>
        <w:rPr>
          <w:rFonts w:ascii="Times New Roman;serif" w:hAnsi="Times New Roman;serif"/>
          <w:b w:val="false"/>
          <w:color w:val="000000"/>
          <w:sz w:val="24"/>
          <w:u w:val="single"/>
        </w:rPr>
        <w:t>Register</w:t>
      </w:r>
      <w:r>
        <w:rPr>
          <w:color w:val="000000"/>
        </w:rPr>
        <w:t>”</w:t>
      </w:r>
      <w:r>
        <w:rPr>
          <w:rFonts w:ascii="Times New Roman;serif" w:hAnsi="Times New Roman;serif"/>
          <w:b w:val="false"/>
          <w:color w:val="000000"/>
          <w:sz w:val="24"/>
        </w:rPr>
        <w:t>). The entries in the Register shall be conclusive absent manifest error, and the Borrower, the Administrative Agent and the Lenders may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a Defaulting Lender. The Register shall be available for inspection by the Borrower and any Lender, at any reasonable time and from time to time upon reasonable prior notice.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Upon its receipt of a duly completed Assignment and Assumption executed by an assigning Lender and an assignee,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pStyle w:val="TextBody"/>
        <w:bidi w:val="0"/>
        <w:spacing w:lineRule="auto" w:line="288" w:before="0" w:after="240"/>
        <w:ind w:left="0" w:right="0" w:firstLine="720"/>
        <w:jc w:val="both"/>
        <w:rPr/>
      </w:pPr>
      <w:r>
        <w:rPr>
          <w:rFonts w:ascii="Times New Roman;serif" w:hAnsi="Times New Roman;serif"/>
          <w:b w:val="false"/>
          <w:color w:val="000000"/>
          <w:sz w:val="24"/>
        </w:rPr>
        <w:t>(e)    Any Lender may, without the consent of the Borrower or the Administrative Agent, sell participations to one or more banks or other entities, other than a Defaulting Lender (a “</w:t>
      </w:r>
      <w:r>
        <w:rPr>
          <w:rFonts w:ascii="Times New Roman;serif" w:hAnsi="Times New Roman;serif"/>
          <w:b w:val="false"/>
          <w:color w:val="000000"/>
          <w:sz w:val="24"/>
          <w:u w:val="single"/>
        </w:rPr>
        <w:t>Participant</w:t>
      </w:r>
      <w:r>
        <w:rPr>
          <w:color w:val="000000"/>
        </w:rPr>
        <w:t>”</w:t>
      </w:r>
      <w:r>
        <w:rPr>
          <w:rFonts w:ascii="Times New Roman;serif" w:hAnsi="Times New Roman;serif"/>
          <w:b w:val="false"/>
          <w:color w:val="000000"/>
          <w:sz w:val="24"/>
        </w:rPr>
        <w:t xml:space="preserve">) in all or a portion of such Lender’s rights and obligations under this Agreement (including all or a portion of its Commitment and the Loans owing to it);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that</w:t>
      </w:r>
      <w:r>
        <w:rPr>
          <w:color w:val="000000"/>
        </w:rPr>
        <w:t xml:space="preserve"> </w:t>
      </w:r>
      <w:r>
        <w:rPr>
          <w:rFonts w:ascii="Times New Roman;serif" w:hAnsi="Times New Roman;serif"/>
          <w:b w:val="false"/>
          <w:color w:val="000000"/>
          <w:sz w:val="24"/>
        </w:rPr>
        <w:t xml:space="preserve">(i) such Lender’s obligations under this Agreement shall remain unchanged, (ii) such Lender shall remain solely responsible to the other parties hereto for the performance of such obligations and (iii) the Borrower, the Administrative Agent and the other Lenders shall continue to deal solely and </w:t>
      </w:r>
    </w:p>
    <w:p>
      <w:pPr>
        <w:pStyle w:val="TextBody"/>
        <w:bidi w:val="0"/>
        <w:spacing w:before="0" w:after="0"/>
        <w:jc w:val="both"/>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that</w:t>
      </w:r>
      <w:r>
        <w:rPr>
          <w:color w:val="000000"/>
        </w:rPr>
        <w:t xml:space="preserve"> </w:t>
      </w:r>
      <w:r>
        <w:rPr>
          <w:rFonts w:ascii="Times New Roman;serif" w:hAnsi="Times New Roman;serif"/>
          <w:b w:val="false"/>
          <w:color w:val="000000"/>
          <w:sz w:val="24"/>
        </w:rPr>
        <w:t xml:space="preserve">such agreement or instrument may provide that such Lender will not, without the consent of the Participant, agree to any amendment, modification or waiver described in the first proviso to </w:t>
      </w:r>
      <w:r>
        <w:rPr>
          <w:rFonts w:ascii="Times New Roman;serif" w:hAnsi="Times New Roman;serif"/>
          <w:b w:val="false"/>
          <w:color w:val="000000"/>
          <w:sz w:val="24"/>
          <w:u w:val="single"/>
        </w:rPr>
        <w:t>Section 9.02(b)</w:t>
      </w:r>
      <w:r>
        <w:rPr>
          <w:color w:val="000000"/>
        </w:rPr>
        <w:t xml:space="preserve"> </w:t>
      </w:r>
      <w:r>
        <w:rPr>
          <w:rFonts w:ascii="Times New Roman;serif" w:hAnsi="Times New Roman;serif"/>
          <w:b w:val="false"/>
          <w:color w:val="000000"/>
          <w:sz w:val="24"/>
        </w:rPr>
        <w:t>that affects such Participant.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serif" w:hAnsi="Times New Roman;serif"/>
          <w:b w:val="false"/>
          <w:color w:val="000000"/>
          <w:sz w:val="24"/>
          <w:u w:val="single"/>
        </w:rPr>
        <w:t>Participant Register</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(f)    A Participant shall not be entitled to receive any greater payment under </w:t>
      </w:r>
      <w:r>
        <w:rPr>
          <w:rFonts w:ascii="Times New Roman;serif" w:hAnsi="Times New Roman;serif"/>
          <w:b w:val="false"/>
          <w:color w:val="000000"/>
          <w:sz w:val="24"/>
          <w:u w:val="single"/>
        </w:rPr>
        <w:t>Section 2.15</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2.17</w:t>
      </w:r>
      <w:r>
        <w:rPr>
          <w:color w:val="000000"/>
        </w:rPr>
        <w:t xml:space="preserve"> </w:t>
      </w:r>
      <w:r>
        <w:rPr>
          <w:rFonts w:ascii="Times New Roman;serif" w:hAnsi="Times New Roman;serif"/>
          <w:b w:val="false"/>
          <w:color w:val="000000"/>
          <w:sz w:val="24"/>
        </w:rPr>
        <w:t xml:space="preserve">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w:t>
      </w:r>
      <w:r>
        <w:rPr>
          <w:rFonts w:ascii="Times New Roman;serif" w:hAnsi="Times New Roman;serif"/>
          <w:b w:val="false"/>
          <w:color w:val="000000"/>
          <w:sz w:val="24"/>
          <w:u w:val="single"/>
        </w:rPr>
        <w:t>Section 2.17</w:t>
      </w:r>
      <w:r>
        <w:rPr>
          <w:color w:val="000000"/>
        </w:rPr>
        <w:t xml:space="preserve"> </w:t>
      </w:r>
      <w:r>
        <w:rPr>
          <w:rFonts w:ascii="Times New Roman;serif" w:hAnsi="Times New Roman;serif"/>
          <w:b w:val="false"/>
          <w:color w:val="000000"/>
          <w:sz w:val="24"/>
        </w:rPr>
        <w:t xml:space="preserve">unless the Borrower is notified of the participation sold to such Participant and such Participant agrees, for the benefit of the Borrower, to comply with </w:t>
      </w:r>
      <w:r>
        <w:rPr>
          <w:rFonts w:ascii="Times New Roman;serif" w:hAnsi="Times New Roman;serif"/>
          <w:b w:val="false"/>
          <w:color w:val="000000"/>
          <w:sz w:val="24"/>
          <w:u w:val="single"/>
        </w:rPr>
        <w:t>Section 2.17(e)</w:t>
      </w:r>
      <w:r>
        <w:rPr>
          <w:color w:val="000000"/>
        </w:rPr>
        <w:t xml:space="preserve"> </w:t>
      </w:r>
      <w:r>
        <w:rPr>
          <w:rFonts w:ascii="Times New Roman;serif" w:hAnsi="Times New Roman;serif"/>
          <w:b w:val="false"/>
          <w:color w:val="000000"/>
          <w:sz w:val="24"/>
        </w:rPr>
        <w:t xml:space="preserve">as though it were a Lender and has zero withholding at the time of participation.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(g)    Any Lender may at any time pledge or assign a security interest in all or any portion of its rights under this Agreement to secure obligations of such Lender to a Federal Reserve Bank or any central bank having jurisdiction over such Lender, and this Section shall not apply to any such pledge or assignment of a security interest;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that</w:t>
      </w:r>
      <w:r>
        <w:rPr>
          <w:color w:val="000000"/>
        </w:rPr>
        <w:t xml:space="preserve"> </w:t>
      </w:r>
      <w:r>
        <w:rPr>
          <w:rFonts w:ascii="Times New Roman;serif" w:hAnsi="Times New Roman;serif"/>
          <w:b w:val="false"/>
          <w:color w:val="000000"/>
          <w:sz w:val="24"/>
        </w:rPr>
        <w:t>no such pledge or assignment of a security interest shall release a Lender from any of its obligations hereunder or substitute any such pledgee or assignee for such Lender as a party hereto.</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(h)    In connection with any assignment of rights and obligations of any Defaulting Lender hereunder, no such assignment will be effective unless and until, in addition to the other conditions thereto set forth herein, the parties to the assignment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w:t>
      </w:r>
      <w:r>
        <w:rPr>
          <w:rFonts w:ascii="Times New Roman;serif" w:hAnsi="Times New Roman;serif"/>
          <w:b w:val="false"/>
          <w:color w:val="000000"/>
          <w:sz w:val="24"/>
          <w:u w:val="single"/>
        </w:rPr>
        <w:t>pro</w:t>
      </w:r>
      <w:r>
        <w:rPr>
          <w:color w:val="000000"/>
        </w:rPr>
        <w:t xml:space="preserve"> </w:t>
      </w:r>
      <w:r>
        <w:rPr>
          <w:rFonts w:ascii="Times New Roman;serif" w:hAnsi="Times New Roman;serif"/>
          <w:b w:val="false"/>
          <w:color w:val="000000"/>
          <w:sz w:val="24"/>
          <w:u w:val="single"/>
        </w:rPr>
        <w:t>rata</w:t>
      </w:r>
      <w:r>
        <w:rPr>
          <w:color w:val="000000"/>
        </w:rPr>
        <w:t xml:space="preserve"> </w:t>
      </w:r>
      <w:r>
        <w:rPr>
          <w:rFonts w:ascii="Times New Roman;serif" w:hAnsi="Times New Roman;serif"/>
          <w:b w:val="false"/>
          <w:color w:val="000000"/>
          <w:sz w:val="24"/>
        </w:rPr>
        <w:t xml:space="preserve">share of Loans previously requested but not funded by the Defaulting Lender, to each of which the applicable assignee and assignor hereby irrevocably consent), to (x) pay and satisfy in full all payment liabilities then owed by such Defaulting Lender to the Administrative Agent and each other Lender hereunder </w:t>
      </w:r>
    </w:p>
    <w:p>
      <w:pPr>
        <w:pStyle w:val="TextBody"/>
        <w:bidi w:val="0"/>
        <w:spacing w:before="0" w:after="0"/>
        <w:jc w:val="both"/>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(and interest accrued thereon), and (y) acquire (and fund as appropriate) its full </w:t>
      </w:r>
      <w:r>
        <w:rPr>
          <w:rFonts w:ascii="Times New Roman;serif" w:hAnsi="Times New Roman;serif"/>
          <w:b w:val="false"/>
          <w:color w:val="000000"/>
          <w:sz w:val="24"/>
          <w:u w:val="single"/>
        </w:rPr>
        <w:t>pro</w:t>
      </w:r>
      <w:r>
        <w:rPr>
          <w:color w:val="000000"/>
        </w:rPr>
        <w:t xml:space="preserve"> </w:t>
      </w:r>
      <w:r>
        <w:rPr>
          <w:rFonts w:ascii="Times New Roman;serif" w:hAnsi="Times New Roman;serif"/>
          <w:b w:val="false"/>
          <w:color w:val="000000"/>
          <w:sz w:val="24"/>
          <w:u w:val="single"/>
        </w:rPr>
        <w:t>rata</w:t>
      </w:r>
      <w:r>
        <w:rPr>
          <w:color w:val="000000"/>
        </w:rPr>
        <w:t xml:space="preserve"> </w:t>
      </w:r>
      <w:r>
        <w:rPr>
          <w:rFonts w:ascii="Times New Roman;serif" w:hAnsi="Times New Roman;serif"/>
          <w:b w:val="false"/>
          <w:color w:val="000000"/>
          <w:sz w:val="24"/>
        </w:rPr>
        <w:t>share of all Loans in accordance with its Applicable Percentage. Notwithstanding the foregoing, in the event that any assignment of rights and obligations of any Defaulting Lender hereunder becomes effective under applicable law without compliance with the provisions of this paragraph, then the assignee of such interest will be deemed to be a Defaulting Lender for all purposes of this Agreement until such compliance occurs.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9.05. </w:t>
      </w:r>
      <w:r>
        <w:rPr>
          <w:rFonts w:ascii="Times New Roman;serif" w:hAnsi="Times New Roman;serif"/>
          <w:b w:val="false"/>
          <w:color w:val="000000"/>
          <w:sz w:val="24"/>
          <w:u w:val="single"/>
        </w:rPr>
        <w:t>Survival</w:t>
      </w:r>
      <w:r>
        <w:rPr>
          <w:rFonts w:ascii="Times New Roman;serif" w:hAnsi="Times New Roman;serif"/>
          <w:b w:val="false"/>
          <w:color w:val="000000"/>
          <w:sz w:val="24"/>
        </w:rPr>
        <w:t xml:space="preserve">. All covenants, agreements, representations and warranties made by the Borrower herein and in the certificates or other instruments delivered in connection with or pursuant to this Agreement shall be considered to have been relied upon by the other parties hereto and shall survive the execution and delivery of this Agreement and the making of any Loans, regardless of any investigation made by any such other party or on its behalf and notwithstanding that the Administrative Agent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and so long as the Commitments have not expired or terminated. The provisions of </w:t>
      </w:r>
      <w:r>
        <w:rPr>
          <w:rFonts w:ascii="Times New Roman;serif" w:hAnsi="Times New Roman;serif"/>
          <w:b w:val="false"/>
          <w:color w:val="000000"/>
          <w:sz w:val="24"/>
          <w:u w:val="single"/>
        </w:rPr>
        <w:t>Sections 2.15</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2.16</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2.17</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9.03</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 xml:space="preserve">shall survive and remain in full force and effect regardless of the consummation of the transactions contemplated hereby, the resignation or replacement of the Administrative Agent or any assignment of rights by, or the replacement of, a Lender, the repayment of the Loans, the expiration or termination of the Commitments or the termination of this Agreement or any provision hereof.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9.06. </w:t>
      </w:r>
      <w:r>
        <w:rPr>
          <w:rFonts w:ascii="Times New Roman;serif" w:hAnsi="Times New Roman;serif"/>
          <w:b w:val="false"/>
          <w:color w:val="000000"/>
          <w:sz w:val="24"/>
          <w:u w:val="single"/>
        </w:rPr>
        <w:t>Counterparts; Integration; Effectiveness; Electronic Execution</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Counterparts; Integration; Effectiveness</w:t>
      </w:r>
      <w:r>
        <w:rPr>
          <w:rFonts w:ascii="Times New Roman;serif" w:hAnsi="Times New Roman;serif"/>
          <w:b w:val="false"/>
          <w:color w:val="000000"/>
          <w:sz w:val="24"/>
        </w:rPr>
        <w:t>. This Agreement may be executed in counterparts (and by different parties hereto on different counterparts), each of which shall constitute an original, but all of which when taken together shall constitute a single contract. This Agreement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This Agreement shall become effective on the Effective Date, and thereafter shall be binding upon and inure to the benefit of the parties hereto and their respective successors and assigns. Delivery of an executed counterpart of a signature page of this Agreement by telecopy shall be effective as delivery of a manually executed counterpart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Electronic Execution</w:t>
      </w:r>
      <w:r>
        <w:rPr>
          <w:rFonts w:ascii="Times New Roman;serif" w:hAnsi="Times New Roman;serif"/>
          <w:b w:val="false"/>
          <w:color w:val="000000"/>
          <w:sz w:val="24"/>
        </w:rPr>
        <w:t xml:space="preserve">. The words “execute,” “execution,” “signed,” “signature,” “delivery” and words of like import in or related to this Agreement, any other loan document or any document, amendment, approval, consent, waiver, modification, information, notice, certificate, report, statement, disclosure, or authorization to be signed or delivered in connection with this Agreement or any other loan document or the transactions contemplated hereby shall be deemed to include Electronic Signatures or execution in the form of an Electronic Record, and contract formations on electronic platforms approved by the Administrative Agent, deliveries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w:t>
      </w:r>
    </w:p>
    <w:p>
      <w:pPr>
        <w:pStyle w:val="TextBody"/>
        <w:bidi w:val="0"/>
        <w:spacing w:before="0" w:after="0"/>
        <w:jc w:val="both"/>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Electronic Signatures and Records Act, or any other similar state laws based on the Uniform Electronic Transactions Act.  Each party hereto agrees that any Electronic Signature or execution in the form of an Electronic Record shall be valid and binding on itself and each of the other parties hereto to the same extent as a manual, original signature.  For the avoidance of doubt, the authorization under this paragraph may include, without limitation, use or acceptance by the parties of a manually signed paper which has been converted into electronic form (such as scanned into PDF format), or an electronically signed paper converted into another format, for transmission, delivery and/or retention.  Notwithstanding anything contained herein to the contrary, the Administrative Agent is under no obligation to accept an Electronic Signature in any form or in any format unless expressly agreed to by the Administrative Agent pursuant to procedures approved by it;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without limiting the foregoing, (i) to the extent the Administrative Agent has agreed to accept such Electronic Signature from any party hereto, the Administrative Agent and the other parties hereto shall be entitled to rely on any such Electronic Signature purportedly given by or on behalf of the executing party without further verification and (ii) upon the request of the Administrative Agent or any Lender, any Electronic Signature shall be promptly followed by an original manually executed counterpart thereof.  Without limiting the generality of the foregoing, each party hereto hereby (A) agrees that, for all purposes, including without limitation, in connection with any workout, restructuring, enforcement of remedies, bankruptcy proceedings or litigation among the Administrative Agent, the Lenders, the Borrower and EPD, electronic images of this Agreement or any other loan document (in each case, including with respect to any signature pages thereto)  shall have the same legal effect, validity and enforceability as any paper original, and (B) waives any argument, defense or right to contest the validity or enforceability of the loan documents based solely on the lack of paper original copies of any loan documents, including with respect to any signature pages thereto.</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9.07. </w:t>
      </w:r>
      <w:r>
        <w:rPr>
          <w:rFonts w:ascii="Times New Roman;serif" w:hAnsi="Times New Roman;serif"/>
          <w:b w:val="false"/>
          <w:color w:val="000000"/>
          <w:sz w:val="24"/>
          <w:u w:val="single"/>
        </w:rPr>
        <w:t>Severability</w:t>
      </w:r>
      <w:r>
        <w:rPr>
          <w:rFonts w:ascii="Times New Roman;serif" w:hAnsi="Times New Roman;serif"/>
          <w:b w:val="false"/>
          <w:color w:val="000000"/>
          <w:sz w:val="24"/>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Without limiting the foregoing provisions of this Section, if and to the extent that the enforceability of any provisions in this Agreement relating to Defaulting Lenders shall be limited by bankruptcy, insolvency, receivership or similar law, as determined in good faith by the Administrative Agent, then such provisions shall be deemed to be in effect only to the extent not so limited.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9.08. </w:t>
      </w:r>
      <w:r>
        <w:rPr>
          <w:rFonts w:ascii="Times New Roman;serif" w:hAnsi="Times New Roman;serif"/>
          <w:b w:val="false"/>
          <w:color w:val="000000"/>
          <w:sz w:val="24"/>
          <w:u w:val="single"/>
        </w:rPr>
        <w:t>Right of Setoff</w:t>
      </w:r>
      <w:r>
        <w:rPr>
          <w:rFonts w:ascii="Times New Roman;serif" w:hAnsi="Times New Roman;serif"/>
          <w:b w:val="false"/>
          <w:color w:val="000000"/>
          <w:sz w:val="24"/>
        </w:rPr>
        <w:t xml:space="preserve">. If an Event of Default shall have occurred and be continuing and acceleration of the Loans shall have occurred under </w:t>
      </w:r>
      <w:r>
        <w:rPr>
          <w:rFonts w:ascii="Times New Roman;serif" w:hAnsi="Times New Roman;serif"/>
          <w:b w:val="false"/>
          <w:color w:val="000000"/>
          <w:sz w:val="24"/>
          <w:u w:val="single"/>
        </w:rPr>
        <w:t>Article VII</w:t>
      </w:r>
      <w:r>
        <w:rPr>
          <w:rFonts w:ascii="Times New Roman;serif" w:hAnsi="Times New Roman;serif"/>
          <w:b w:val="false"/>
          <w:color w:val="000000"/>
          <w:sz w:val="24"/>
        </w:rPr>
        <w:t xml:space="preserve">,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the Borrower against any of and all the obligations of the Borrower now or hereafter existing under this Agreement held by such Lender, irrespective of whether or not such Lender shall have made any demand under this Agreement and although such obligations may be unmatured;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in the event that any Defaulting Lender exercises any such right of setoff, (x) all amounts so set off will be paid over immediately to the Administrative Agent for further application in accordance with the provisions of </w:t>
      </w:r>
      <w:r>
        <w:rPr>
          <w:rFonts w:ascii="Times New Roman;serif" w:hAnsi="Times New Roman;serif"/>
          <w:b w:val="false"/>
          <w:color w:val="000000"/>
          <w:sz w:val="24"/>
          <w:u w:val="single"/>
        </w:rPr>
        <w:t>Section 2.18</w:t>
      </w:r>
      <w:r>
        <w:rPr>
          <w:color w:val="000000"/>
        </w:rPr>
        <w:t xml:space="preserve"> </w:t>
      </w:r>
      <w:r>
        <w:rPr>
          <w:rFonts w:ascii="Times New Roman;serif" w:hAnsi="Times New Roman;serif"/>
          <w:b w:val="false"/>
          <w:color w:val="000000"/>
          <w:sz w:val="24"/>
        </w:rPr>
        <w:t xml:space="preserve">and, pending such payment, will be segregated by such Defaulting Lender from its </w:t>
      </w:r>
    </w:p>
    <w:p>
      <w:pPr>
        <w:pStyle w:val="TextBody"/>
        <w:bidi w:val="0"/>
        <w:spacing w:before="0" w:after="0"/>
        <w:jc w:val="both"/>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other funds and deemed held in trust for the benefit of the Administrative Agent and the Lenders and (y) the Defaulting Lender will provide promptly to the Administrative Agent a statement describing in reasonable detail the obligations under this Agreement owing to such Defaulting Lender as to which it exercised such right of setoff. The rights of each Lender under this Section are in addition to other rights and remedies (including other rights of setoff) which such Lender may have.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9.09. </w:t>
      </w:r>
      <w:r>
        <w:rPr>
          <w:rFonts w:ascii="Times New Roman;serif" w:hAnsi="Times New Roman;serif"/>
          <w:b w:val="false"/>
          <w:color w:val="000000"/>
          <w:sz w:val="24"/>
          <w:u w:val="single"/>
        </w:rPr>
        <w:t>Governing Law; Jurisdiction; Consent to Service of Process</w:t>
      </w:r>
      <w:r>
        <w:rPr>
          <w:rFonts w:ascii="Times New Roman;serif" w:hAnsi="Times New Roman;serif"/>
          <w:b w:val="false"/>
          <w:color w:val="000000"/>
          <w:sz w:val="24"/>
        </w:rPr>
        <w:t>. (a)  This Agreement shall be construed in accordance with and governed by the law of the State of New York.</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Borrower hereby irrevocably and unconditionally submits, for itself and its property, to the nonexclusive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the Administrative Agent or any Lender may otherwise have to bring any action or proceeding relating to this Agreement against the Borrower or its properties in the courts of any jurisdiction.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The Borrower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paragraph (b) of this Section. Each of the parties hereto hereby irrevocably waives, to the fullest extent permitted by law, the defense of an inconvenient forum to the maintenance of such action or proceeding in any such court.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(d)    Each party to this Agreement irrevocably consents to service of process in the manner provided for notices in </w:t>
      </w:r>
      <w:r>
        <w:rPr>
          <w:rFonts w:ascii="Times New Roman;serif" w:hAnsi="Times New Roman;serif"/>
          <w:b w:val="false"/>
          <w:color w:val="000000"/>
          <w:sz w:val="24"/>
          <w:u w:val="single"/>
        </w:rPr>
        <w:t>Section 9.01</w:t>
      </w:r>
      <w:r>
        <w:rPr>
          <w:rFonts w:ascii="Times New Roman;serif" w:hAnsi="Times New Roman;serif"/>
          <w:b w:val="false"/>
          <w:color w:val="000000"/>
          <w:sz w:val="24"/>
        </w:rPr>
        <w:t>. Nothing in this Agreement will affect the right of any party to this Agreement to serve process in any other manner permitted by law.</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9.10. </w:t>
      </w:r>
      <w:r>
        <w:rPr>
          <w:rFonts w:ascii="Times New Roman;serif" w:hAnsi="Times New Roman;serif"/>
          <w:b w:val="false"/>
          <w:color w:val="000000"/>
          <w:sz w:val="24"/>
          <w:u w:val="single"/>
        </w:rPr>
        <w:t>WAIVER OF JURY TRIAL</w:t>
      </w:r>
      <w:r>
        <w:rPr>
          <w:rFonts w:ascii="Times New Roman;serif" w:hAnsi="Times New Roman;serif"/>
          <w:b w:val="false"/>
          <w:color w:val="000000"/>
          <w:sz w:val="24"/>
        </w:rPr>
        <w:t>. EACH PARTY HERETO HEREBY WAIVES, TO THE FULLEST EXTENT PERMITTED BY APPLICABLE LAW, ANY RIGHT IT MAY HAVE TO A TRIAL BY JURY IN ANY LEGAL PROCEEDING DIRECTLY OR INDIRECTLY ARISING OUT OF OR RELATING TO THIS AGREEMENT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pStyle w:val="TextBody"/>
        <w:bidi w:val="0"/>
        <w:spacing w:before="0" w:after="0"/>
        <w:jc w:val="both"/>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9.11. </w:t>
      </w:r>
      <w:r>
        <w:rPr>
          <w:rFonts w:ascii="Times New Roman;serif" w:hAnsi="Times New Roman;serif"/>
          <w:b w:val="false"/>
          <w:color w:val="000000"/>
          <w:sz w:val="24"/>
          <w:u w:val="single"/>
        </w:rPr>
        <w:t>Headings</w:t>
      </w:r>
      <w:r>
        <w:rPr>
          <w:rFonts w:ascii="Times New Roman;serif" w:hAnsi="Times New Roman;serif"/>
          <w:b w:val="false"/>
          <w:color w:val="000000"/>
          <w:sz w:val="24"/>
        </w:rPr>
        <w:t>. Article and Section headings and the Table of Contents used herein are for convenience of reference only, are not part of this Agreement and shall not affect the construction of, or be taken into consideration in interpreting,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9.12. </w:t>
      </w:r>
      <w:r>
        <w:rPr>
          <w:rFonts w:ascii="Times New Roman;serif" w:hAnsi="Times New Roman;serif"/>
          <w:b w:val="false"/>
          <w:color w:val="000000"/>
          <w:sz w:val="24"/>
          <w:u w:val="single"/>
        </w:rPr>
        <w:t>Confidentiality</w:t>
      </w:r>
      <w:r>
        <w:rPr>
          <w:rFonts w:ascii="Times New Roman;serif" w:hAnsi="Times New Roman;serif"/>
          <w:b w:val="false"/>
          <w:color w:val="000000"/>
          <w:sz w:val="24"/>
        </w:rPr>
        <w:t xml:space="preserve">. Each of the Administrative Agent, the Co-Syndication Agents, the Co-Documentation Agents, and the Lenders agrees to maintain the confidentiality of the Information (as defined below), except that Information may be disclosed (a) to its and its Affiliates’ directors, officers, managers, administrators, trustees,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regulatory authority, (c) to the extent required by applicable laws or regulations or by any subpoena or similar legal process, (d) to any other party to this Agreement, (e) in connection with the exercise of any remedies hereunder or any suit, action or proceeding relating to this Agreement or the enforcement of rights hereunder, (f) subject to an agreement containing provisions substantially the same as those of this Section, to (i) any assignee of or Participant in, or any prospective assignee of or Participant in, any of its rights or obligations under this Agreement (including any pledgee or assignee permitted under </w:t>
      </w:r>
      <w:r>
        <w:rPr>
          <w:rFonts w:ascii="Times New Roman;serif" w:hAnsi="Times New Roman;serif"/>
          <w:b w:val="false"/>
          <w:color w:val="000000"/>
          <w:sz w:val="24"/>
          <w:u w:val="single"/>
        </w:rPr>
        <w:t>Section 9.04(g)</w:t>
      </w:r>
      <w:r>
        <w:rPr>
          <w:rFonts w:ascii="Times New Roman;serif" w:hAnsi="Times New Roman;serif"/>
          <w:b w:val="false"/>
          <w:color w:val="000000"/>
          <w:sz w:val="24"/>
        </w:rPr>
        <w:t>), (ii)</w:t>
      </w:r>
      <w:r>
        <w:rPr>
          <w:color w:val="000000"/>
        </w:rPr>
        <w:t xml:space="preserve"> </w:t>
      </w:r>
      <w:r>
        <w:rPr>
          <w:rFonts w:ascii="Times New Roman;serif" w:hAnsi="Times New Roman;serif"/>
          <w:b w:val="false"/>
          <w:color w:val="000000"/>
          <w:sz w:val="24"/>
        </w:rPr>
        <w:t>any actual or prospective party (or its managers, administrators, trustees, partners, directors, officers, employees, agents, advisors and other representatives) to any swap, derivative or other transaction under which payments are to be made by reference to the Borrower and its obligations, this Agreement or payments hereunder, (iii) any rating agency, or (iv) the CUSIP Service Bureau or any similar organization, (g) with the consent of the Borrower or (h) to the extent such Information (i) becomes publicly available other than as a result of a breach of this Section or (ii) becomes available to the Administrative Agent, the Co-Syndication Agents, the Co-Documentation Agents or any Lender on a nonconfidential basis from a source other than the Borrower and its Related Parties. For the purposes of this Section, “Information” means all information received from the Borrower relating to the Borrower or its business, other than any such information that is available to the Administrative Agent or any Lender on a nonconfidential basis prior to disclosure by the Borrower. For the avoidance of doubt, nothing herein prohibits any individual from communicating or disclosing information regarding suspected violations of laws, rules or regulations to a Governmental Authority.</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9.13. </w:t>
      </w:r>
      <w:r>
        <w:rPr>
          <w:rFonts w:ascii="Times New Roman;serif" w:hAnsi="Times New Roman;serif"/>
          <w:b w:val="false"/>
          <w:color w:val="000000"/>
          <w:sz w:val="24"/>
          <w:u w:val="single"/>
        </w:rPr>
        <w:t>Interest Rate Limitation</w:t>
      </w:r>
      <w:r>
        <w:rPr>
          <w:rFonts w:ascii="Times New Roman;serif" w:hAnsi="Times New Roman;serif"/>
          <w:b w:val="false"/>
          <w:color w:val="000000"/>
          <w:sz w:val="24"/>
        </w:rPr>
        <w:t>. Notwithstanding anything herein to the contrary, if at any time the interest rate applicable to any Loan, together with all fees, charges and other amounts which are treated as interest on such Loan under applicable law (collectively the “</w:t>
      </w:r>
      <w:r>
        <w:rPr>
          <w:rFonts w:ascii="Times New Roman;serif" w:hAnsi="Times New Roman;serif"/>
          <w:b w:val="false"/>
          <w:color w:val="000000"/>
          <w:sz w:val="24"/>
          <w:u w:val="single"/>
        </w:rPr>
        <w:t>Charges</w:t>
      </w:r>
      <w:r>
        <w:rPr>
          <w:color w:val="000000"/>
        </w:rPr>
        <w:t>”</w:t>
      </w:r>
      <w:r>
        <w:rPr>
          <w:rFonts w:ascii="Times New Roman;serif" w:hAnsi="Times New Roman;serif"/>
          <w:b w:val="false"/>
          <w:color w:val="000000"/>
          <w:sz w:val="24"/>
        </w:rPr>
        <w:t>), shall exceed the maximum lawful rate (the “</w:t>
      </w:r>
      <w:r>
        <w:rPr>
          <w:rFonts w:ascii="Times New Roman;serif" w:hAnsi="Times New Roman;serif"/>
          <w:b w:val="false"/>
          <w:color w:val="000000"/>
          <w:sz w:val="24"/>
          <w:u w:val="single"/>
        </w:rPr>
        <w:t>Maximum Rate</w:t>
      </w:r>
      <w:r>
        <w:rPr>
          <w:color w:val="000000"/>
        </w:rPr>
        <w:t>”</w:t>
      </w:r>
      <w:r>
        <w:rPr>
          <w:rFonts w:ascii="Times New Roman;serif" w:hAnsi="Times New Roman;serif"/>
          <w:b w:val="false"/>
          <w:color w:val="000000"/>
          <w:sz w:val="24"/>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(to the extent lawful) with interest thereon at the Federal Funds Effective Rate to the date of repayment, shall have been received by such Lender.</w:t>
      </w:r>
    </w:p>
    <w:p>
      <w:pPr>
        <w:pStyle w:val="TextBody"/>
        <w:bidi w:val="0"/>
        <w:spacing w:before="0" w:after="0"/>
        <w:jc w:val="both"/>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9.14. </w:t>
      </w:r>
      <w:r>
        <w:rPr>
          <w:rFonts w:ascii="Times New Roman;serif" w:hAnsi="Times New Roman;serif"/>
          <w:b w:val="false"/>
          <w:color w:val="000000"/>
          <w:sz w:val="24"/>
          <w:u w:val="single"/>
        </w:rPr>
        <w:t>Liability of Manager</w:t>
      </w:r>
      <w:r>
        <w:rPr>
          <w:rFonts w:ascii="Times New Roman;serif" w:hAnsi="Times New Roman;serif"/>
          <w:b w:val="false"/>
          <w:color w:val="000000"/>
          <w:sz w:val="24"/>
        </w:rPr>
        <w:t>. It is hereby understood and agreed that Manager shall have no personal liability, as a member of the Borrower or otherwise, for the payment of any amount owing or to be owing hereunder.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9.15. </w:t>
      </w:r>
      <w:r>
        <w:rPr>
          <w:rFonts w:ascii="Times New Roman;serif" w:hAnsi="Times New Roman;serif"/>
          <w:b w:val="false"/>
          <w:color w:val="000000"/>
          <w:sz w:val="24"/>
          <w:u w:val="single"/>
        </w:rPr>
        <w:t>USA Patriot Act Notice</w:t>
      </w:r>
      <w:r>
        <w:rPr>
          <w:rFonts w:ascii="Times New Roman;serif" w:hAnsi="Times New Roman;serif"/>
          <w:b w:val="false"/>
          <w:color w:val="000000"/>
          <w:sz w:val="24"/>
        </w:rPr>
        <w:t>. Each Lender and the Administrative Agent (for itself and not on behalf of any Lender) hereby notifies Borrower that pursuant to the requirements of the USA Patriot Act (Title III of Pub. L. 107-56 (signed into law October 26, 2003)) (the “</w:t>
      </w:r>
      <w:r>
        <w:rPr>
          <w:rFonts w:ascii="Times New Roman;serif" w:hAnsi="Times New Roman;serif"/>
          <w:b w:val="false"/>
          <w:color w:val="000000"/>
          <w:sz w:val="24"/>
          <w:u w:val="single"/>
        </w:rPr>
        <w:t>Act</w:t>
      </w:r>
      <w:r>
        <w:rPr>
          <w:color w:val="000000"/>
        </w:rPr>
        <w:t>”</w:t>
      </w:r>
      <w:r>
        <w:rPr>
          <w:rFonts w:ascii="Times New Roman;serif" w:hAnsi="Times New Roman;serif"/>
          <w:b w:val="false"/>
          <w:color w:val="000000"/>
          <w:sz w:val="24"/>
        </w:rPr>
        <w:t>), it is required to obtain, verify and record information that identifies Borrower, which information includes the name and address of Borrower and other information that will allow such Lender or the Administrative Agent, as applicable, to identify Borrower in accordance with the Act. The Borrower shall, following a request by the Administrative Agent or any Lender, provide all documentation and other information that the Administrative Agent or such Lender reasonably requests in order to comply with its ongoing obligations under applicable "know your customer" and anti-money laundering rules and regulations, including the Act.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9.16. </w:t>
      </w:r>
      <w:r>
        <w:rPr>
          <w:rFonts w:ascii="Times New Roman;serif" w:hAnsi="Times New Roman;serif"/>
          <w:b w:val="false"/>
          <w:color w:val="000000"/>
          <w:sz w:val="24"/>
          <w:u w:val="single"/>
        </w:rPr>
        <w:t>No Advisory or Fiduciary Responsibility</w:t>
      </w:r>
      <w:r>
        <w:rPr>
          <w:rFonts w:ascii="Times New Roman;serif" w:hAnsi="Times New Roman;serif"/>
          <w:b w:val="false"/>
          <w:color w:val="000000"/>
          <w:sz w:val="24"/>
        </w:rPr>
        <w:t>. In connection with all aspects of each transaction contemplated hereby (including in connection with any amendment, waiver or other modification hereof or of any other loan document executed or delivered in connection herewith), Borrower acknowledges and agrees, and acknowledges its Affiliates’ understanding, that: (i) (A) the arranging and other services regarding this Agreement provided by Administrative Agent, Arrangers and Lenders are arm’s-length commercial transactions between Borrower and its Affiliates, on the one hand, and Administrative Agent, Arrangers and Lenders, on the other hand, (B) Borrower has consulted its own legal, accounting, regulatory and tax advisors to the extent it has deemed appropriate, and (C) Borrower is capable of evaluating, and understands and accepts, the terms, risks and conditions of the transactions contemplated hereby and by the other loan documents executed or delivered in connection herewith; (ii) (A) Administrative Agent, each Lender and each Arranger is and has been acting solely as a principal and, except as expressly agreed in writing by the relevant parties, has not been, is not, and will not be acting as an advisor, agent or fiduciary for Borrower or any of its Affiliates, or any other Person and (B) none of the Administrative Agent, nor any Arranger or any Lender has any obligation to Borrower or any of its Affiliates with respect to the transactions contemplated hereby except those obligations expressly set forth herein and in the other loan documents executed or delivered in connection herewith; and (iii) Administrative Agent, Arrangers and Lenders and their respective Affiliates may be engaged in a broad range of transactions that involve interests that differ from those of Borrower and its Affiliates, and none of the Administrative Agent, any Arranger or any Lender has any obligation to disclose any of such interests to Borrower or its Affiliates. To the fullest extent permitted by law, Borrower hereby waives and releases any claims that it may have against Administrative Agent, any Arranger or any Lender with respect to any breach or alleged breach of agency or fiduciary duty in connection with any aspect of any transaction contemplated hereby.</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9.17. </w:t>
      </w:r>
      <w:r>
        <w:rPr>
          <w:rFonts w:ascii="Times New Roman;serif" w:hAnsi="Times New Roman;serif"/>
          <w:b w:val="false"/>
          <w:color w:val="000000"/>
          <w:sz w:val="24"/>
          <w:u w:val="single"/>
        </w:rPr>
        <w:t>Acknowledgement and Consent to Bail-In of Affected Financial Institutions</w:t>
      </w:r>
      <w:r>
        <w:rPr>
          <w:rFonts w:ascii="Times New Roman;serif" w:hAnsi="Times New Roman;serif"/>
          <w:b w:val="false"/>
          <w:color w:val="000000"/>
          <w:sz w:val="24"/>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before="0" w:after="0"/>
        <w:jc w:val="both"/>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effects of any Bail-In Action on any such liability, including, if applicable: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a reduction in full or in part or cancellation of any such liability;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the variation of the terms of such liability in connection with the exercise of the write-down and conversion powers of the applicable Resolution Authority.</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9.18. </w:t>
      </w:r>
      <w:r>
        <w:rPr>
          <w:rFonts w:ascii="Times New Roman;serif" w:hAnsi="Times New Roman;serif"/>
          <w:b w:val="false"/>
          <w:color w:val="000000"/>
          <w:sz w:val="24"/>
          <w:u w:val="single"/>
        </w:rPr>
        <w:t>Certain ERISA Matters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Each Lender (x) represents and warrants, as of the date such Person became a Lender party hereto, to, and (y) covenants, from the date such Person became a Lender party hereto to the date such Person ceases being a Lender party hereto, for the benefit of, the Administrative Agent, each Arranger and their respective Affiliates, and not, for the avoidance of doubt, to or for the benefit of the Borrower or EPD, that at least one of the following is and will be true: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    such Lender is not using “plan assets” (within the meaning of Section 3(42) of ERISA or otherwise) of one or more Benefit Plans with respect to such Lender’s entrance into, participation in, administration of and performance of the Loans, the Letters of Credit or the Commitments;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w:t>
      </w:r>
    </w:p>
    <w:p>
      <w:pPr>
        <w:pStyle w:val="TextBody"/>
        <w:bidi w:val="0"/>
        <w:spacing w:before="0" w:after="0"/>
        <w:jc w:val="both"/>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 of Part I of PTE 84-14 are satisfied with respect to such Lender’s entrance into, participation in, administration of and performance of the Loans, the Letters of Credit, the Commitments and this Agreement; or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(iv)    such other representation, warranty and covenant as may be agreed in writing between the Administrative Agent, in its sole discretion, and such Lender.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and (y) covenants, from the date such Person became a Lender party hereto to the date such Person ceases being a Lender party hereto, for the benefit of, the Administrative Agent, each Arranger and their respective Affiliates, and not, for the avoidance of doubt, to or for the benefit of the Borrower or EPD, that none of the Administrative Agent, any Arranger and their respective Affiliates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pStyle w:val="TextBody"/>
        <w:bidi w:val="0"/>
        <w:spacing w:before="0" w:after="240"/>
        <w:ind w:left="0" w:right="0" w:firstLine="720"/>
        <w:jc w:val="both"/>
        <w:rPr/>
      </w:pPr>
      <w:r>
        <w:rPr/>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[Signature Pages to Follow]</w:t>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caused this Agreement to be duly executed by their respective authorized officers as of the day and year first above written.</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ENTERPRISE PRODUCTS OPERATING LLC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Enterprise Products OLPGP, Inc.,</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its Manager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By:</w:t>
      </w:r>
      <w:r>
        <w:rPr>
          <w:color w:val="000000"/>
          <w:u w:val="single"/>
        </w:rPr>
        <w:t>    </w:t>
      </w:r>
      <w:r>
        <w:rPr>
          <w:rFonts w:ascii="Times New Roman;serif" w:hAnsi="Times New Roman;serif"/>
          <w:b w:val="false"/>
          <w:color w:val="000000"/>
          <w:sz w:val="24"/>
          <w:u w:val="single"/>
        </w:rPr>
        <w:t>/s/ Christian M. Nelly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Christian M. “Chris” Nelly</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Executive Vice President - Finance and</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Sustainability and Treasurer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24"/>
                              </w:rPr>
                              <w:t>S-1    </w:t>
                            </w:r>
                            <w:r>
                              <w:rPr>
                                <w:rFonts w:ascii="Times New Roman;serif" w:hAnsi="Times New Roman;serif"/>
                                <w:b w:val="false"/>
                                <w:color w:val="000000"/>
                                <w:sz w:val="16"/>
                              </w:rPr>
                              <w:t>July 2026 EPO Revolver Facility</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24"/>
                        </w:rPr>
                        <w:t>S-1    </w:t>
                      </w:r>
                      <w:r>
                        <w:rPr>
                          <w:rFonts w:ascii="Times New Roman;serif" w:hAnsi="Times New Roman;serif"/>
                          <w:b w:val="false"/>
                          <w:color w:val="000000"/>
                          <w:sz w:val="16"/>
                        </w:rPr>
                        <w:t>July 2026 EPO Revolver Facility</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CITIBANK, N.A.,</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as Administrative Agent and a Lender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Maureen Maroney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Maureen Maroney</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Vice President</w:t>
      </w:r>
    </w:p>
    <w:p>
      <w:pPr>
        <w:pStyle w:val="TextBody"/>
        <w:bidi w:val="0"/>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24"/>
                              </w:rPr>
                              <w:t>S-2    </w:t>
                            </w:r>
                            <w:r>
                              <w:rPr>
                                <w:rFonts w:ascii="Times New Roman;serif" w:hAnsi="Times New Roman;serif"/>
                                <w:b w:val="false"/>
                                <w:color w:val="000000"/>
                                <w:sz w:val="16"/>
                              </w:rPr>
                              <w:t>July 2026 EPO Revolver Facility</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24"/>
                        </w:rPr>
                        <w:t>S-2    </w:t>
                      </w:r>
                      <w:r>
                        <w:rPr>
                          <w:rFonts w:ascii="Times New Roman;serif" w:hAnsi="Times New Roman;serif"/>
                          <w:b w:val="false"/>
                          <w:color w:val="000000"/>
                          <w:sz w:val="16"/>
                        </w:rPr>
                        <w:t>July 2026 EPO Revolver Facility</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WELLS FARGO BANK, NATIONAL ASSOCIATION,</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as Co-Syndication Agent and a Lender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By:</w:t>
      </w:r>
      <w:r>
        <w:rPr>
          <w:color w:val="000000"/>
          <w:u w:val="single"/>
        </w:rPr>
        <w:t xml:space="preserve">     </w:t>
      </w:r>
      <w:r>
        <w:rPr>
          <w:rFonts w:ascii="Times New Roman;serif" w:hAnsi="Times New Roman;serif"/>
          <w:b w:val="false"/>
          <w:color w:val="000000"/>
          <w:sz w:val="24"/>
          <w:u w:val="single"/>
        </w:rPr>
        <w:t>/s/ Brandon Kast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Name: Brandon Kast</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Title: Managing Director</w:t>
      </w:r>
    </w:p>
    <w:p>
      <w:pPr>
        <w:pStyle w:val="TextBody"/>
        <w:bidi w:val="0"/>
        <w:spacing w:before="0" w:after="0"/>
        <w:jc w:val="both"/>
        <w:rPr/>
      </w:pPr>
      <w:r>
        <w:rPr/>
      </w:r>
    </w:p>
    <w:p>
      <w:pPr>
        <w:pStyle w:val="TextBody"/>
        <w:bidi w:val="0"/>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24"/>
                              </w:rPr>
                              <w:t>S-3    </w:t>
                            </w:r>
                            <w:r>
                              <w:rPr>
                                <w:rFonts w:ascii="Times New Roman;serif" w:hAnsi="Times New Roman;serif"/>
                                <w:b w:val="false"/>
                                <w:color w:val="000000"/>
                                <w:sz w:val="16"/>
                              </w:rPr>
                              <w:t>July 2026 EPO Revolver Facility</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24"/>
                        </w:rPr>
                        <w:t>S-3    </w:t>
                      </w:r>
                      <w:r>
                        <w:rPr>
                          <w:rFonts w:ascii="Times New Roman;serif" w:hAnsi="Times New Roman;serif"/>
                          <w:b w:val="false"/>
                          <w:color w:val="000000"/>
                          <w:sz w:val="16"/>
                        </w:rPr>
                        <w:t>July 2026 EPO Revolver Facility</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JPMORGAN CHASE BANK, N.A.,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as Co-Syndication Agent and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Anca Loghin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Anca Loghin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Authorized Officer</w:t>
      </w:r>
    </w:p>
    <w:p>
      <w:pPr>
        <w:pStyle w:val="TextBody"/>
        <w:bidi w:val="0"/>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24"/>
                              </w:rPr>
                              <w:t>S-4    </w:t>
                            </w:r>
                            <w:r>
                              <w:rPr>
                                <w:rFonts w:ascii="Times New Roman;serif" w:hAnsi="Times New Roman;serif"/>
                                <w:b w:val="false"/>
                                <w:color w:val="000000"/>
                                <w:sz w:val="16"/>
                              </w:rPr>
                              <w:t>July 2026 EPO Revolver Facility</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24"/>
                        </w:rPr>
                        <w:t>S-4    </w:t>
                      </w:r>
                      <w:r>
                        <w:rPr>
                          <w:rFonts w:ascii="Times New Roman;serif" w:hAnsi="Times New Roman;serif"/>
                          <w:b w:val="false"/>
                          <w:color w:val="000000"/>
                          <w:sz w:val="16"/>
                        </w:rPr>
                        <w:t>July 2026 EPO Revolver Facility</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MIZUHO BANK, LTD.,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as Co-Syndication Agent and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Edward Sacks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Edward Sacks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Managing Director</w:t>
      </w:r>
    </w:p>
    <w:p>
      <w:pPr>
        <w:pStyle w:val="TextBody"/>
        <w:bidi w:val="0"/>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24"/>
                              </w:rPr>
                              <w:t>S-5    </w:t>
                            </w:r>
                            <w:r>
                              <w:rPr>
                                <w:rFonts w:ascii="Times New Roman;serif" w:hAnsi="Times New Roman;serif"/>
                                <w:b w:val="false"/>
                                <w:color w:val="000000"/>
                                <w:sz w:val="16"/>
                              </w:rPr>
                              <w:t>July 2026 EPO Revolver Facility</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24"/>
                        </w:rPr>
                        <w:t>S-5    </w:t>
                      </w:r>
                      <w:r>
                        <w:rPr>
                          <w:rFonts w:ascii="Times New Roman;serif" w:hAnsi="Times New Roman;serif"/>
                          <w:b w:val="false"/>
                          <w:color w:val="000000"/>
                          <w:sz w:val="16"/>
                        </w:rPr>
                        <w:t>July 2026 EPO Revolver Facility</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MUFG BANK, LTD.,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as Co-Syndication Agent and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Tennyson Ryals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Tennyson Ryals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Authorized Signatory</w:t>
      </w:r>
    </w:p>
    <w:p>
      <w:pPr>
        <w:pStyle w:val="TextBody"/>
        <w:bidi w:val="0"/>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24"/>
                              </w:rPr>
                              <w:t>S-6    </w:t>
                            </w:r>
                            <w:r>
                              <w:rPr>
                                <w:rFonts w:ascii="Times New Roman;serif" w:hAnsi="Times New Roman;serif"/>
                                <w:b w:val="false"/>
                                <w:color w:val="000000"/>
                                <w:sz w:val="16"/>
                              </w:rPr>
                              <w:t>July 2026 EPO Revolver Facility</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24"/>
                        </w:rPr>
                        <w:t>S-6    </w:t>
                      </w:r>
                      <w:r>
                        <w:rPr>
                          <w:rFonts w:ascii="Times New Roman;serif" w:hAnsi="Times New Roman;serif"/>
                          <w:b w:val="false"/>
                          <w:color w:val="000000"/>
                          <w:sz w:val="16"/>
                        </w:rPr>
                        <w:t>July 2026 EPO Revolver Facility</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TRUIST BANK,</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as Co-Syndication Agent and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Lincoln LaCour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Lincoln LaCour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Director</w:t>
      </w:r>
    </w:p>
    <w:p>
      <w:pPr>
        <w:pStyle w:val="TextBody"/>
        <w:bidi w:val="0"/>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24"/>
                              </w:rPr>
                              <w:t>S-7    </w:t>
                            </w:r>
                            <w:r>
                              <w:rPr>
                                <w:rFonts w:ascii="Times New Roman;serif" w:hAnsi="Times New Roman;serif"/>
                                <w:b w:val="false"/>
                                <w:color w:val="000000"/>
                                <w:sz w:val="16"/>
                              </w:rPr>
                              <w:t>July 2026 EPO Revolver Facility</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24"/>
                        </w:rPr>
                        <w:t>S-7    </w:t>
                      </w:r>
                      <w:r>
                        <w:rPr>
                          <w:rFonts w:ascii="Times New Roman;serif" w:hAnsi="Times New Roman;serif"/>
                          <w:b w:val="false"/>
                          <w:color w:val="000000"/>
                          <w:sz w:val="16"/>
                        </w:rPr>
                        <w:t>July 2026 EPO Revolver Facility</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BARCLAYS BANK PLC,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as Co-Documentation Agent and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Evan Moriarty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Evan Moriarty</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Director</w:t>
      </w:r>
    </w:p>
    <w:p>
      <w:pPr>
        <w:pStyle w:val="TextBody"/>
        <w:bidi w:val="0"/>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24"/>
                              </w:rPr>
                              <w:t>S-8    </w:t>
                            </w:r>
                            <w:r>
                              <w:rPr>
                                <w:rFonts w:ascii="Times New Roman;serif" w:hAnsi="Times New Roman;serif"/>
                                <w:b w:val="false"/>
                                <w:color w:val="000000"/>
                                <w:sz w:val="16"/>
                              </w:rPr>
                              <w:t>July 2026 EPO Revolver Facility</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24"/>
                        </w:rPr>
                        <w:t>S-8    </w:t>
                      </w:r>
                      <w:r>
                        <w:rPr>
                          <w:rFonts w:ascii="Times New Roman;serif" w:hAnsi="Times New Roman;serif"/>
                          <w:b w:val="false"/>
                          <w:color w:val="000000"/>
                          <w:sz w:val="16"/>
                        </w:rPr>
                        <w:t>July 2026 EPO Revolver Facility</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ROYAL BANK OF CANADA,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as Co-Documentation Agent and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Michael Sharp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Michael Sharp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Authorized Signatory</w:t>
      </w:r>
    </w:p>
    <w:p>
      <w:pPr>
        <w:pStyle w:val="TextBody"/>
        <w:bidi w:val="0"/>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24"/>
                              </w:rPr>
                              <w:t>S-9    </w:t>
                            </w:r>
                            <w:r>
                              <w:rPr>
                                <w:rFonts w:ascii="Times New Roman;serif" w:hAnsi="Times New Roman;serif"/>
                                <w:b w:val="false"/>
                                <w:color w:val="000000"/>
                                <w:sz w:val="16"/>
                              </w:rPr>
                              <w:t>July 2026 EPO Revolver Facility</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24"/>
                        </w:rPr>
                        <w:t>S-9    </w:t>
                      </w:r>
                      <w:r>
                        <w:rPr>
                          <w:rFonts w:ascii="Times New Roman;serif" w:hAnsi="Times New Roman;serif"/>
                          <w:b w:val="false"/>
                          <w:color w:val="000000"/>
                          <w:sz w:val="16"/>
                        </w:rPr>
                        <w:t>July 2026 EPO Revolver Facility</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SUMITOMO MITSUI BANKING CORPORATION,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as Co-Documentation Agent and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Nabeel Shah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Nabeel Shah</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Title: Executive Director</w:t>
      </w:r>
    </w:p>
    <w:p>
      <w:pPr>
        <w:pStyle w:val="TextBody"/>
        <w:bidi w:val="0"/>
        <w:spacing w:before="0" w:after="0"/>
        <w:jc w:val="both"/>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24"/>
                              </w:rPr>
                              <w:t>S-10    </w:t>
                            </w:r>
                            <w:r>
                              <w:rPr>
                                <w:rFonts w:ascii="Times New Roman;serif" w:hAnsi="Times New Roman;serif"/>
                                <w:b w:val="false"/>
                                <w:color w:val="000000"/>
                                <w:sz w:val="16"/>
                              </w:rPr>
                              <w:t>July 2026 EPO Revolver Facility</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24"/>
                        </w:rPr>
                        <w:t>S-10    </w:t>
                      </w:r>
                      <w:r>
                        <w:rPr>
                          <w:rFonts w:ascii="Times New Roman;serif" w:hAnsi="Times New Roman;serif"/>
                          <w:b w:val="false"/>
                          <w:color w:val="000000"/>
                          <w:sz w:val="16"/>
                        </w:rPr>
                        <w:t>July 2026 EPO Revolver Facility</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BANK OF NOVA SCOTIA,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HOUSTON BRANCH,</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as Co-Documentation Agent and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By:</w:t>
      </w:r>
      <w:r>
        <w:rPr>
          <w:color w:val="000000"/>
          <w:u w:val="single"/>
        </w:rPr>
        <w:t xml:space="preserve"> </w:t>
      </w:r>
      <w:r>
        <w:rPr>
          <w:rFonts w:ascii="Times New Roman;serif" w:hAnsi="Times New Roman;serif"/>
          <w:b w:val="false"/>
          <w:color w:val="000000"/>
          <w:sz w:val="24"/>
          <w:u w:val="single"/>
        </w:rPr>
        <w:t>/s/ Joe Lattanzi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Joe Lattanzi</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Managing Director</w:t>
      </w:r>
    </w:p>
    <w:p>
      <w:pPr>
        <w:pStyle w:val="TextBody"/>
        <w:bidi w:val="0"/>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24"/>
                              </w:rPr>
                              <w:t>S-11    </w:t>
                            </w:r>
                            <w:r>
                              <w:rPr>
                                <w:rFonts w:ascii="Times New Roman;serif" w:hAnsi="Times New Roman;serif"/>
                                <w:b w:val="false"/>
                                <w:color w:val="000000"/>
                                <w:sz w:val="16"/>
                              </w:rPr>
                              <w:t>July 2026 EPO Revolver Facility</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24"/>
                        </w:rPr>
                        <w:t>S-11    </w:t>
                      </w:r>
                      <w:r>
                        <w:rPr>
                          <w:rFonts w:ascii="Times New Roman;serif" w:hAnsi="Times New Roman;serif"/>
                          <w:b w:val="false"/>
                          <w:color w:val="000000"/>
                          <w:sz w:val="16"/>
                        </w:rPr>
                        <w:t>July 2026 EPO Revolver Facility</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TORONTO-DOMINION BANK,</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NEW YORK BRANCH,</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as Co-Documentation Agent and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Liana Chernysheva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Liana Chernysheva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Authorized Signatory</w:t>
      </w:r>
    </w:p>
    <w:p>
      <w:pPr>
        <w:pStyle w:val="TextBody"/>
        <w:bidi w:val="0"/>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24"/>
                              </w:rPr>
                              <w:t>S-12    </w:t>
                            </w:r>
                            <w:r>
                              <w:rPr>
                                <w:rFonts w:ascii="Times New Roman;serif" w:hAnsi="Times New Roman;serif"/>
                                <w:b w:val="false"/>
                                <w:color w:val="000000"/>
                                <w:sz w:val="16"/>
                              </w:rPr>
                              <w:t>July 2026 EPO Revolver Facility</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24"/>
                        </w:rPr>
                        <w:t>S-12    </w:t>
                      </w:r>
                      <w:r>
                        <w:rPr>
                          <w:rFonts w:ascii="Times New Roman;serif" w:hAnsi="Times New Roman;serif"/>
                          <w:b w:val="false"/>
                          <w:color w:val="000000"/>
                          <w:sz w:val="16"/>
                        </w:rPr>
                        <w:t>July 2026 EPO Revolver Facility</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BANK OF AMERICA, N.A.,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Christopher Clark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Christopher Clark</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Vice President</w:t>
      </w:r>
    </w:p>
    <w:p>
      <w:pPr>
        <w:pStyle w:val="TextBody"/>
        <w:bidi w:val="0"/>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24"/>
                              </w:rPr>
                              <w:t>S-13    </w:t>
                            </w:r>
                            <w:r>
                              <w:rPr>
                                <w:rFonts w:ascii="Times New Roman;serif" w:hAnsi="Times New Roman;serif"/>
                                <w:b w:val="false"/>
                                <w:color w:val="000000"/>
                                <w:sz w:val="16"/>
                              </w:rPr>
                              <w:t>July 2026 EPO Revolver Facility</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24"/>
                        </w:rPr>
                        <w:t>S-13    </w:t>
                      </w:r>
                      <w:r>
                        <w:rPr>
                          <w:rFonts w:ascii="Times New Roman;serif" w:hAnsi="Times New Roman;serif"/>
                          <w:b w:val="false"/>
                          <w:color w:val="000000"/>
                          <w:sz w:val="16"/>
                        </w:rPr>
                        <w:t>July 2026 EPO Revolver Facility</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CREDIT AGRICOLE CORPORATE AND INVESTMENT BANK,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Paul Arens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Paul Arens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Director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By:</w:t>
      </w:r>
      <w:r>
        <w:rPr>
          <w:color w:val="000000"/>
          <w:u w:val="single"/>
        </w:rPr>
        <w:t xml:space="preserve"> </w:t>
      </w:r>
      <w:r>
        <w:rPr>
          <w:rFonts w:ascii="Times New Roman;serif" w:hAnsi="Times New Roman;serif"/>
          <w:b w:val="false"/>
          <w:color w:val="000000"/>
          <w:sz w:val="24"/>
          <w:u w:val="single"/>
        </w:rPr>
        <w:t>/s/ Gordon Yip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Gordon Yip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Director</w:t>
      </w:r>
    </w:p>
    <w:p>
      <w:pPr>
        <w:pStyle w:val="TextBody"/>
        <w:bidi w:val="0"/>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24"/>
                              </w:rPr>
                              <w:t>S-14    </w:t>
                            </w:r>
                            <w:r>
                              <w:rPr>
                                <w:rFonts w:ascii="Times New Roman;serif" w:hAnsi="Times New Roman;serif"/>
                                <w:b w:val="false"/>
                                <w:color w:val="000000"/>
                                <w:sz w:val="16"/>
                              </w:rPr>
                              <w:t>July 2026 EPO Revolver Facility</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24"/>
                        </w:rPr>
                        <w:t>S-14    </w:t>
                      </w:r>
                      <w:r>
                        <w:rPr>
                          <w:rFonts w:ascii="Times New Roman;serif" w:hAnsi="Times New Roman;serif"/>
                          <w:b w:val="false"/>
                          <w:color w:val="000000"/>
                          <w:sz w:val="16"/>
                        </w:rPr>
                        <w:t>July 2026 EPO Revolver Facility</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PNC BANK, NATIONAL ASSOCIATION,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Danielle Bernicky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Danielle Bernicky</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Assistant Vice President</w:t>
      </w:r>
    </w:p>
    <w:p>
      <w:pPr>
        <w:pStyle w:val="TextBody"/>
        <w:bidi w:val="0"/>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24"/>
                              </w:rPr>
                              <w:t>S-15    </w:t>
                            </w:r>
                            <w:r>
                              <w:rPr>
                                <w:rFonts w:ascii="Times New Roman;serif" w:hAnsi="Times New Roman;serif"/>
                                <w:b w:val="false"/>
                                <w:color w:val="000000"/>
                                <w:sz w:val="16"/>
                              </w:rPr>
                              <w:t>July 2026 EPO Revolver Facility</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24"/>
                        </w:rPr>
                        <w:t>S-15    </w:t>
                      </w:r>
                      <w:r>
                        <w:rPr>
                          <w:rFonts w:ascii="Times New Roman;serif" w:hAnsi="Times New Roman;serif"/>
                          <w:b w:val="false"/>
                          <w:color w:val="000000"/>
                          <w:sz w:val="16"/>
                        </w:rPr>
                        <w:t>July 2026 EPO Revolver Facility</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U.S. BANK NATIONAL ASSOCIATION,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Beth Johnson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Beth Johnson</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Title: Senior Vice President</w:t>
      </w:r>
    </w:p>
    <w:p>
      <w:pPr>
        <w:pStyle w:val="TextBody"/>
        <w:bidi w:val="0"/>
        <w:spacing w:before="0" w:after="0"/>
        <w:jc w:val="both"/>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24"/>
                              </w:rPr>
                              <w:t>S-16    </w:t>
                            </w:r>
                            <w:r>
                              <w:rPr>
                                <w:rFonts w:ascii="Times New Roman;serif" w:hAnsi="Times New Roman;serif"/>
                                <w:b w:val="false"/>
                                <w:color w:val="000000"/>
                                <w:sz w:val="16"/>
                              </w:rPr>
                              <w:t>July 2026 EPO Revolver Facility</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24"/>
                        </w:rPr>
                        <w:t>S-16    </w:t>
                      </w:r>
                      <w:r>
                        <w:rPr>
                          <w:rFonts w:ascii="Times New Roman;serif" w:hAnsi="Times New Roman;serif"/>
                          <w:b w:val="false"/>
                          <w:color w:val="000000"/>
                          <w:sz w:val="16"/>
                        </w:rPr>
                        <w:t>July 2026 EPO Revolver Facility</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SOCIETE GENERALE,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Richard Bernal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Richard Bernal</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Managing Director</w:t>
      </w:r>
    </w:p>
    <w:p>
      <w:pPr>
        <w:pStyle w:val="TextBody"/>
        <w:bidi w:val="0"/>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24"/>
                              </w:rPr>
                              <w:t>S-17    </w:t>
                            </w:r>
                            <w:r>
                              <w:rPr>
                                <w:rFonts w:ascii="Times New Roman;serif" w:hAnsi="Times New Roman;serif"/>
                                <w:b w:val="false"/>
                                <w:color w:val="000000"/>
                                <w:sz w:val="16"/>
                              </w:rPr>
                              <w:t>July 2026 EPO Revolver Facility</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24"/>
                        </w:rPr>
                        <w:t>S-17    </w:t>
                      </w:r>
                      <w:r>
                        <w:rPr>
                          <w:rFonts w:ascii="Times New Roman;serif" w:hAnsi="Times New Roman;serif"/>
                          <w:b w:val="false"/>
                          <w:color w:val="000000"/>
                          <w:sz w:val="16"/>
                        </w:rPr>
                        <w:t>July 2026 EPO Revolver Facility</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BANCO BILBAO VIZCAYA ARGENTARIA, S.A. NEW YORK BRANCH,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Brian Crowley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Brian Crowley</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Managing Director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Armen Semizian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Armen Semizian</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Title: Managing Director</w:t>
      </w:r>
    </w:p>
    <w:p>
      <w:pPr>
        <w:pStyle w:val="TextBody"/>
        <w:bidi w:val="0"/>
        <w:spacing w:before="0" w:after="0"/>
        <w:jc w:val="both"/>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24"/>
                              </w:rPr>
                              <w:t>S-18    </w:t>
                            </w:r>
                            <w:r>
                              <w:rPr>
                                <w:rFonts w:ascii="Times New Roman;serif" w:hAnsi="Times New Roman;serif"/>
                                <w:b w:val="false"/>
                                <w:color w:val="000000"/>
                                <w:sz w:val="16"/>
                              </w:rPr>
                              <w:t>July 2026 EPO Revolver Facility</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24"/>
                        </w:rPr>
                        <w:t>S-18    </w:t>
                      </w:r>
                      <w:r>
                        <w:rPr>
                          <w:rFonts w:ascii="Times New Roman;serif" w:hAnsi="Times New Roman;serif"/>
                          <w:b w:val="false"/>
                          <w:color w:val="000000"/>
                          <w:sz w:val="16"/>
                        </w:rPr>
                        <w:t>July 2026 EPO Revolver Facility</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BANK OF MONTREAL,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Jason Lang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Jason Lang</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Managing Director</w:t>
      </w:r>
    </w:p>
    <w:p>
      <w:pPr>
        <w:pStyle w:val="TextBody"/>
        <w:bidi w:val="0"/>
        <w:spacing w:before="0" w:after="0"/>
        <w:jc w:val="left"/>
        <w:rPr/>
      </w:pPr>
      <w:r>
        <w:rPr/>
      </w:r>
    </w:p>
    <w:p>
      <w:pPr>
        <w:pStyle w:val="TextBody"/>
        <w:bidi w:val="0"/>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0"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24"/>
                              </w:rPr>
                              <w:t>S-19    </w:t>
                            </w:r>
                            <w:r>
                              <w:rPr>
                                <w:rFonts w:ascii="Times New Roman;serif" w:hAnsi="Times New Roman;serif"/>
                                <w:b w:val="false"/>
                                <w:color w:val="000000"/>
                                <w:sz w:val="16"/>
                              </w:rPr>
                              <w:t>July 2026 EPO Revolver Facility</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24"/>
                        </w:rPr>
                        <w:t>S-19    </w:t>
                      </w:r>
                      <w:r>
                        <w:rPr>
                          <w:rFonts w:ascii="Times New Roman;serif" w:hAnsi="Times New Roman;serif"/>
                          <w:b w:val="false"/>
                          <w:color w:val="000000"/>
                          <w:sz w:val="16"/>
                        </w:rPr>
                        <w:t>July 2026 EPO Revolver Facility</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DEUTSCHE BANK AG NEW YORK BRANCH,</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Kelvyn Correa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Kelvyn Correa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Director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Douglas Darman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Douglas Darman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Director</w:t>
      </w:r>
    </w:p>
    <w:p>
      <w:pPr>
        <w:pStyle w:val="TextBody"/>
        <w:bidi w:val="0"/>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1"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24"/>
                              </w:rPr>
                              <w:t>S-20    </w:t>
                            </w:r>
                            <w:r>
                              <w:rPr>
                                <w:rFonts w:ascii="Times New Roman;serif" w:hAnsi="Times New Roman;serif"/>
                                <w:b w:val="false"/>
                                <w:color w:val="000000"/>
                                <w:sz w:val="16"/>
                              </w:rPr>
                              <w:t>July 2026 EPO Revolver Facility</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24"/>
                        </w:rPr>
                        <w:t>S-20    </w:t>
                      </w:r>
                      <w:r>
                        <w:rPr>
                          <w:rFonts w:ascii="Times New Roman;serif" w:hAnsi="Times New Roman;serif"/>
                          <w:b w:val="false"/>
                          <w:color w:val="000000"/>
                          <w:sz w:val="16"/>
                        </w:rPr>
                        <w:t>July 2026 EPO Revolver Facility</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MORGAN STANLEY BANK, N.A.,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By:</w:t>
      </w:r>
      <w:r>
        <w:rPr>
          <w:color w:val="000000"/>
          <w:u w:val="single"/>
        </w:rPr>
        <w:t xml:space="preserve"> </w:t>
      </w:r>
      <w:r>
        <w:rPr>
          <w:rFonts w:ascii="Times New Roman;serif" w:hAnsi="Times New Roman;serif"/>
          <w:b w:val="false"/>
          <w:color w:val="000000"/>
          <w:sz w:val="24"/>
          <w:u w:val="single"/>
        </w:rPr>
        <w:t>/s/ Michael King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Michael King</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Authorized Signatory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2"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24"/>
                              </w:rPr>
                              <w:t>S-21    </w:t>
                            </w:r>
                            <w:r>
                              <w:rPr>
                                <w:rFonts w:ascii="Times New Roman;serif" w:hAnsi="Times New Roman;serif"/>
                                <w:b w:val="false"/>
                                <w:color w:val="000000"/>
                                <w:sz w:val="16"/>
                              </w:rPr>
                              <w:t>July 2026 EPO Revolver Facility</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24"/>
                        </w:rPr>
                        <w:t>S-21    </w:t>
                      </w:r>
                      <w:r>
                        <w:rPr>
                          <w:rFonts w:ascii="Times New Roman;serif" w:hAnsi="Times New Roman;serif"/>
                          <w:b w:val="false"/>
                          <w:color w:val="000000"/>
                          <w:sz w:val="16"/>
                        </w:rPr>
                        <w:t>July 2026 EPO Revolver Facility</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SCHEDULE 2.01</w: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COMMITMENTS</w:t>
      </w:r>
    </w:p>
    <w:tbl>
      <w:tblPr>
        <w:tblW w:w="9059" w:type="dxa"/>
        <w:jc w:val="left"/>
        <w:tblInd w:w="0" w:type="dxa"/>
        <w:tblLayout w:type="fixed"/>
        <w:tblCellMar>
          <w:top w:w="28" w:type="dxa"/>
          <w:left w:w="28" w:type="dxa"/>
          <w:bottom w:w="28" w:type="dxa"/>
          <w:right w:w="28" w:type="dxa"/>
        </w:tblCellMar>
      </w:tblPr>
      <w:tblGrid>
        <w:gridCol w:w="1741"/>
        <w:gridCol w:w="1525"/>
        <w:gridCol w:w="1548"/>
        <w:gridCol w:w="633"/>
        <w:gridCol w:w="633"/>
        <w:gridCol w:w="640"/>
        <w:gridCol w:w="684"/>
        <w:gridCol w:w="684"/>
        <w:gridCol w:w="971"/>
      </w:tblGrid>
      <w:tr>
        <w:trPr/>
        <w:tc>
          <w:tcPr>
            <w:tcW w:w="1741"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Lender</w:t>
            </w:r>
          </w:p>
        </w:tc>
        <w:tc>
          <w:tcPr>
            <w:tcW w:w="1906" w:type="dxa"/>
            <w:gridSpan w:val="3"/>
            <w:tcBorders/>
            <w:tcMar>
              <w:top w:w="0" w:type="dxa"/>
              <w:left w:w="0" w:type="dxa"/>
              <w:bottom w:w="0" w:type="dxa"/>
              <w:right w:w="0" w:type="dxa"/>
            </w:tcMar>
            <w:vAlign w:val="center"/>
          </w:tcPr>
          <w:p>
            <w:pPr>
              <w:pStyle w:val="TableContents"/>
              <w:bidi w:val="0"/>
              <w:spacing w:lineRule="auto" w:line="288" w:before="60" w:after="6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Commitment</w:t>
            </w:r>
          </w:p>
        </w:tc>
        <w:tc>
          <w:tcPr>
            <w:tcW w:w="2339" w:type="dxa"/>
            <w:gridSpan w:val="3"/>
            <w:tcBorders/>
            <w:tcMar>
              <w:top w:w="0" w:type="dxa"/>
              <w:left w:w="0" w:type="dxa"/>
              <w:bottom w:w="0" w:type="dxa"/>
              <w:right w:w="0" w:type="dxa"/>
            </w:tcMar>
            <w:vAlign w:val="center"/>
          </w:tcPr>
          <w:p>
            <w:pPr>
              <w:pStyle w:val="TableContents"/>
              <w:bidi w:val="0"/>
              <w:spacing w:lineRule="auto" w:line="288" w:before="60" w:after="60"/>
              <w:jc w:val="center"/>
              <w:rPr/>
            </w:pPr>
            <w:r>
              <w:rPr>
                <w:rFonts w:ascii="Times New Roman;serif" w:hAnsi="Times New Roman;serif"/>
                <w:b w:val="false"/>
                <w:color w:val="000000"/>
                <w:sz w:val="24"/>
                <w:u w:val="single"/>
              </w:rPr>
              <w:t>Applicable Percentage</w:t>
            </w:r>
            <w:r>
              <w:rPr>
                <w:color w:val="000000"/>
              </w:rPr>
              <w:t xml:space="preserve"> </w:t>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Citibank, N.A.</w:t>
            </w:r>
          </w:p>
        </w:tc>
        <w:tc>
          <w:tcPr>
            <w:tcW w:w="1906" w:type="dxa"/>
            <w:gridSpan w:val="3"/>
            <w:tcBorders/>
            <w:tcMar>
              <w:top w:w="0" w:type="dxa"/>
              <w:left w:w="0" w:type="dxa"/>
              <w:bottom w:w="0" w:type="dxa"/>
              <w:right w:w="0" w:type="dxa"/>
            </w:tcMar>
            <w:vAlign w:val="center"/>
          </w:tcPr>
          <w:p>
            <w:pPr>
              <w:pStyle w:val="TableContents"/>
              <w:bidi w:val="0"/>
              <w:spacing w:lineRule="auto" w:line="288" w:before="60" w:after="60"/>
              <w:jc w:val="left"/>
              <w:rPr>
                <w:rFonts w:ascii="Times New Roman;serif" w:hAnsi="Times New Roman;serif"/>
                <w:b w:val="false"/>
                <w:color w:val="000000"/>
                <w:sz w:val="24"/>
              </w:rPr>
            </w:pPr>
            <w:r>
              <w:rPr>
                <w:rFonts w:ascii="Times New Roman;serif" w:hAnsi="Times New Roman;serif"/>
                <w:b w:val="false"/>
                <w:color w:val="000000"/>
                <w:sz w:val="24"/>
              </w:rPr>
              <w:t>$51,162,790.69</w:t>
            </w:r>
          </w:p>
        </w:tc>
        <w:tc>
          <w:tcPr>
            <w:tcW w:w="2339" w:type="dxa"/>
            <w:gridSpan w:val="3"/>
            <w:tcBorders/>
            <w:tcMar>
              <w:top w:w="0" w:type="dxa"/>
              <w:left w:w="0" w:type="dxa"/>
              <w:bottom w:w="0" w:type="dxa"/>
              <w:right w:w="0" w:type="dxa"/>
            </w:tcMar>
            <w:vAlign w:val="center"/>
          </w:tcPr>
          <w:p>
            <w:pPr>
              <w:pStyle w:val="TableContents"/>
              <w:bidi w:val="0"/>
              <w:spacing w:lineRule="auto" w:line="288" w:before="60" w:after="60"/>
              <w:jc w:val="center"/>
              <w:rPr>
                <w:rFonts w:ascii="Times New Roman;serif" w:hAnsi="Times New Roman;serif"/>
                <w:b w:val="false"/>
                <w:color w:val="000000"/>
                <w:sz w:val="24"/>
              </w:rPr>
            </w:pPr>
            <w:r>
              <w:rPr>
                <w:rFonts w:ascii="Times New Roman;serif" w:hAnsi="Times New Roman;serif"/>
                <w:b w:val="false"/>
                <w:color w:val="000000"/>
                <w:sz w:val="24"/>
              </w:rPr>
              <w:t>5.11627907%</w:t>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Wells Fargo Bank, National Association</w:t>
            </w:r>
          </w:p>
        </w:tc>
        <w:tc>
          <w:tcPr>
            <w:tcW w:w="1906" w:type="dxa"/>
            <w:gridSpan w:val="3"/>
            <w:tcBorders/>
            <w:tcMar>
              <w:top w:w="0" w:type="dxa"/>
              <w:left w:w="0" w:type="dxa"/>
              <w:bottom w:w="0" w:type="dxa"/>
              <w:right w:w="0" w:type="dxa"/>
            </w:tcMar>
            <w:vAlign w:val="center"/>
          </w:tcPr>
          <w:p>
            <w:pPr>
              <w:pStyle w:val="TableContents"/>
              <w:bidi w:val="0"/>
              <w:spacing w:lineRule="auto" w:line="288" w:before="60" w:after="60"/>
              <w:jc w:val="left"/>
              <w:rPr>
                <w:rFonts w:ascii="Times New Roman;serif" w:hAnsi="Times New Roman;serif"/>
                <w:b w:val="false"/>
                <w:color w:val="000000"/>
                <w:sz w:val="24"/>
              </w:rPr>
            </w:pPr>
            <w:r>
              <w:rPr>
                <w:rFonts w:ascii="Times New Roman;serif" w:hAnsi="Times New Roman;serif"/>
                <w:b w:val="false"/>
                <w:color w:val="000000"/>
                <w:sz w:val="24"/>
              </w:rPr>
              <w:t>$51,162,790.69</w:t>
            </w:r>
          </w:p>
        </w:tc>
        <w:tc>
          <w:tcPr>
            <w:tcW w:w="2339" w:type="dxa"/>
            <w:gridSpan w:val="3"/>
            <w:tcBorders/>
            <w:tcMar>
              <w:top w:w="0" w:type="dxa"/>
              <w:left w:w="0" w:type="dxa"/>
              <w:bottom w:w="0" w:type="dxa"/>
              <w:right w:w="0" w:type="dxa"/>
            </w:tcMar>
            <w:vAlign w:val="center"/>
          </w:tcPr>
          <w:p>
            <w:pPr>
              <w:pStyle w:val="TableContents"/>
              <w:bidi w:val="0"/>
              <w:spacing w:lineRule="auto" w:line="288" w:before="60" w:after="60"/>
              <w:jc w:val="center"/>
              <w:rPr>
                <w:rFonts w:ascii="Times New Roman;serif" w:hAnsi="Times New Roman;serif"/>
                <w:b w:val="false"/>
                <w:color w:val="000000"/>
                <w:sz w:val="24"/>
              </w:rPr>
            </w:pPr>
            <w:r>
              <w:rPr>
                <w:rFonts w:ascii="Times New Roman;serif" w:hAnsi="Times New Roman;serif"/>
                <w:b w:val="false"/>
                <w:color w:val="000000"/>
                <w:sz w:val="24"/>
              </w:rPr>
              <w:t>5.11627907%</w:t>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JPMorgan Chase Bank, N.A.</w:t>
            </w:r>
          </w:p>
        </w:tc>
        <w:tc>
          <w:tcPr>
            <w:tcW w:w="1906" w:type="dxa"/>
            <w:gridSpan w:val="3"/>
            <w:tcBorders/>
            <w:tcMar>
              <w:top w:w="0" w:type="dxa"/>
              <w:left w:w="0" w:type="dxa"/>
              <w:bottom w:w="0" w:type="dxa"/>
              <w:right w:w="0" w:type="dxa"/>
            </w:tcMar>
            <w:vAlign w:val="center"/>
          </w:tcPr>
          <w:p>
            <w:pPr>
              <w:pStyle w:val="TableContents"/>
              <w:bidi w:val="0"/>
              <w:spacing w:lineRule="auto" w:line="288" w:before="60" w:after="60"/>
              <w:jc w:val="left"/>
              <w:rPr>
                <w:rFonts w:ascii="Times New Roman;serif" w:hAnsi="Times New Roman;serif"/>
                <w:b w:val="false"/>
                <w:color w:val="000000"/>
                <w:sz w:val="24"/>
              </w:rPr>
            </w:pPr>
            <w:r>
              <w:rPr>
                <w:rFonts w:ascii="Times New Roman;serif" w:hAnsi="Times New Roman;serif"/>
                <w:b w:val="false"/>
                <w:color w:val="000000"/>
                <w:sz w:val="24"/>
              </w:rPr>
              <w:t>$51,162,790.69</w:t>
            </w:r>
          </w:p>
        </w:tc>
        <w:tc>
          <w:tcPr>
            <w:tcW w:w="2339" w:type="dxa"/>
            <w:gridSpan w:val="3"/>
            <w:tcBorders/>
            <w:tcMar>
              <w:top w:w="0" w:type="dxa"/>
              <w:left w:w="0" w:type="dxa"/>
              <w:bottom w:w="0" w:type="dxa"/>
              <w:right w:w="0" w:type="dxa"/>
            </w:tcMar>
            <w:vAlign w:val="center"/>
          </w:tcPr>
          <w:p>
            <w:pPr>
              <w:pStyle w:val="TableContents"/>
              <w:bidi w:val="0"/>
              <w:spacing w:lineRule="auto" w:line="288" w:before="60" w:after="60"/>
              <w:jc w:val="center"/>
              <w:rPr>
                <w:rFonts w:ascii="Times New Roman;serif" w:hAnsi="Times New Roman;serif"/>
                <w:b w:val="false"/>
                <w:color w:val="000000"/>
                <w:sz w:val="24"/>
              </w:rPr>
            </w:pPr>
            <w:r>
              <w:rPr>
                <w:rFonts w:ascii="Times New Roman;serif" w:hAnsi="Times New Roman;serif"/>
                <w:b w:val="false"/>
                <w:color w:val="000000"/>
                <w:sz w:val="24"/>
              </w:rPr>
              <w:t>5.11627907%</w:t>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Mizuho Bank, Ltd.</w:t>
            </w:r>
          </w:p>
        </w:tc>
        <w:tc>
          <w:tcPr>
            <w:tcW w:w="1906" w:type="dxa"/>
            <w:gridSpan w:val="3"/>
            <w:tcBorders/>
            <w:tcMar>
              <w:top w:w="0" w:type="dxa"/>
              <w:left w:w="0" w:type="dxa"/>
              <w:bottom w:w="0" w:type="dxa"/>
              <w:right w:w="0" w:type="dxa"/>
            </w:tcMar>
            <w:vAlign w:val="center"/>
          </w:tcPr>
          <w:p>
            <w:pPr>
              <w:pStyle w:val="TableContents"/>
              <w:bidi w:val="0"/>
              <w:spacing w:lineRule="auto" w:line="288" w:before="60" w:after="60"/>
              <w:jc w:val="left"/>
              <w:rPr>
                <w:rFonts w:ascii="Times New Roman;serif" w:hAnsi="Times New Roman;serif"/>
                <w:b w:val="false"/>
                <w:color w:val="000000"/>
                <w:sz w:val="24"/>
              </w:rPr>
            </w:pPr>
            <w:r>
              <w:rPr>
                <w:rFonts w:ascii="Times New Roman;serif" w:hAnsi="Times New Roman;serif"/>
                <w:b w:val="false"/>
                <w:color w:val="000000"/>
                <w:sz w:val="24"/>
              </w:rPr>
              <w:t>$51,162,790.69</w:t>
            </w:r>
          </w:p>
        </w:tc>
        <w:tc>
          <w:tcPr>
            <w:tcW w:w="2339" w:type="dxa"/>
            <w:gridSpan w:val="3"/>
            <w:tcBorders/>
            <w:tcMar>
              <w:top w:w="0" w:type="dxa"/>
              <w:left w:w="0" w:type="dxa"/>
              <w:bottom w:w="0" w:type="dxa"/>
              <w:right w:w="0" w:type="dxa"/>
            </w:tcMar>
            <w:vAlign w:val="center"/>
          </w:tcPr>
          <w:p>
            <w:pPr>
              <w:pStyle w:val="TableContents"/>
              <w:bidi w:val="0"/>
              <w:spacing w:lineRule="auto" w:line="288" w:before="60" w:after="60"/>
              <w:jc w:val="center"/>
              <w:rPr>
                <w:rFonts w:ascii="Times New Roman;serif" w:hAnsi="Times New Roman;serif"/>
                <w:b w:val="false"/>
                <w:color w:val="000000"/>
                <w:sz w:val="24"/>
              </w:rPr>
            </w:pPr>
            <w:r>
              <w:rPr>
                <w:rFonts w:ascii="Times New Roman;serif" w:hAnsi="Times New Roman;serif"/>
                <w:b w:val="false"/>
                <w:color w:val="000000"/>
                <w:sz w:val="24"/>
              </w:rPr>
              <w:t>5.11627907%</w:t>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MUFG Bank, Ltd.</w:t>
            </w:r>
          </w:p>
        </w:tc>
        <w:tc>
          <w:tcPr>
            <w:tcW w:w="1906" w:type="dxa"/>
            <w:gridSpan w:val="3"/>
            <w:tcBorders/>
            <w:tcMar>
              <w:top w:w="0" w:type="dxa"/>
              <w:left w:w="0" w:type="dxa"/>
              <w:bottom w:w="0" w:type="dxa"/>
              <w:right w:w="0" w:type="dxa"/>
            </w:tcMar>
            <w:vAlign w:val="center"/>
          </w:tcPr>
          <w:p>
            <w:pPr>
              <w:pStyle w:val="TableContents"/>
              <w:bidi w:val="0"/>
              <w:spacing w:lineRule="auto" w:line="288" w:before="60" w:after="60"/>
              <w:jc w:val="left"/>
              <w:rPr>
                <w:rFonts w:ascii="Times New Roman;serif" w:hAnsi="Times New Roman;serif"/>
                <w:b w:val="false"/>
                <w:color w:val="000000"/>
                <w:sz w:val="24"/>
              </w:rPr>
            </w:pPr>
            <w:r>
              <w:rPr>
                <w:rFonts w:ascii="Times New Roman;serif" w:hAnsi="Times New Roman;serif"/>
                <w:b w:val="false"/>
                <w:color w:val="000000"/>
                <w:sz w:val="24"/>
              </w:rPr>
              <w:t>$51,162,790.69</w:t>
            </w:r>
          </w:p>
        </w:tc>
        <w:tc>
          <w:tcPr>
            <w:tcW w:w="2339" w:type="dxa"/>
            <w:gridSpan w:val="3"/>
            <w:tcBorders/>
            <w:tcMar>
              <w:top w:w="0" w:type="dxa"/>
              <w:left w:w="0" w:type="dxa"/>
              <w:bottom w:w="0" w:type="dxa"/>
              <w:right w:w="0" w:type="dxa"/>
            </w:tcMar>
            <w:vAlign w:val="center"/>
          </w:tcPr>
          <w:p>
            <w:pPr>
              <w:pStyle w:val="TableContents"/>
              <w:bidi w:val="0"/>
              <w:spacing w:lineRule="auto" w:line="288" w:before="60" w:after="60"/>
              <w:jc w:val="center"/>
              <w:rPr>
                <w:rFonts w:ascii="Times New Roman;serif" w:hAnsi="Times New Roman;serif"/>
                <w:b w:val="false"/>
                <w:color w:val="000000"/>
                <w:sz w:val="24"/>
              </w:rPr>
            </w:pPr>
            <w:r>
              <w:rPr>
                <w:rFonts w:ascii="Times New Roman;serif" w:hAnsi="Times New Roman;serif"/>
                <w:b w:val="false"/>
                <w:color w:val="000000"/>
                <w:sz w:val="24"/>
              </w:rPr>
              <w:t>5.11627907%</w:t>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Truist Bank</w:t>
            </w:r>
          </w:p>
        </w:tc>
        <w:tc>
          <w:tcPr>
            <w:tcW w:w="1906" w:type="dxa"/>
            <w:gridSpan w:val="3"/>
            <w:tcBorders/>
            <w:tcMar>
              <w:top w:w="0" w:type="dxa"/>
              <w:left w:w="0" w:type="dxa"/>
              <w:bottom w:w="0" w:type="dxa"/>
              <w:right w:w="0" w:type="dxa"/>
            </w:tcMar>
            <w:vAlign w:val="center"/>
          </w:tcPr>
          <w:p>
            <w:pPr>
              <w:pStyle w:val="TableContents"/>
              <w:bidi w:val="0"/>
              <w:spacing w:lineRule="auto" w:line="288" w:before="60" w:after="60"/>
              <w:jc w:val="left"/>
              <w:rPr>
                <w:rFonts w:ascii="Times New Roman;serif" w:hAnsi="Times New Roman;serif"/>
                <w:b w:val="false"/>
                <w:color w:val="000000"/>
                <w:sz w:val="24"/>
              </w:rPr>
            </w:pPr>
            <w:r>
              <w:rPr>
                <w:rFonts w:ascii="Times New Roman;serif" w:hAnsi="Times New Roman;serif"/>
                <w:b w:val="false"/>
                <w:color w:val="000000"/>
                <w:sz w:val="24"/>
              </w:rPr>
              <w:t>$51,162,790.69</w:t>
            </w:r>
          </w:p>
        </w:tc>
        <w:tc>
          <w:tcPr>
            <w:tcW w:w="2339" w:type="dxa"/>
            <w:gridSpan w:val="3"/>
            <w:tcBorders/>
            <w:tcMar>
              <w:top w:w="0" w:type="dxa"/>
              <w:left w:w="0" w:type="dxa"/>
              <w:bottom w:w="0" w:type="dxa"/>
              <w:right w:w="0" w:type="dxa"/>
            </w:tcMar>
            <w:vAlign w:val="center"/>
          </w:tcPr>
          <w:p>
            <w:pPr>
              <w:pStyle w:val="TableContents"/>
              <w:bidi w:val="0"/>
              <w:spacing w:lineRule="auto" w:line="288" w:before="60" w:after="60"/>
              <w:jc w:val="center"/>
              <w:rPr>
                <w:rFonts w:ascii="Times New Roman;serif" w:hAnsi="Times New Roman;serif"/>
                <w:b w:val="false"/>
                <w:color w:val="000000"/>
                <w:sz w:val="24"/>
              </w:rPr>
            </w:pPr>
            <w:r>
              <w:rPr>
                <w:rFonts w:ascii="Times New Roman;serif" w:hAnsi="Times New Roman;serif"/>
                <w:b w:val="false"/>
                <w:color w:val="000000"/>
                <w:sz w:val="24"/>
              </w:rPr>
              <w:t>5.11627907%</w:t>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Barclays Bank PLC</w:t>
            </w:r>
          </w:p>
        </w:tc>
        <w:tc>
          <w:tcPr>
            <w:tcW w:w="1906" w:type="dxa"/>
            <w:gridSpan w:val="3"/>
            <w:tcBorders/>
            <w:tcMar>
              <w:top w:w="0" w:type="dxa"/>
              <w:left w:w="0" w:type="dxa"/>
              <w:bottom w:w="0" w:type="dxa"/>
              <w:right w:w="0" w:type="dxa"/>
            </w:tcMar>
            <w:vAlign w:val="center"/>
          </w:tcPr>
          <w:p>
            <w:pPr>
              <w:pStyle w:val="TableContents"/>
              <w:bidi w:val="0"/>
              <w:spacing w:lineRule="auto" w:line="288" w:before="60" w:after="60"/>
              <w:jc w:val="left"/>
              <w:rPr>
                <w:rFonts w:ascii="Times New Roman;serif" w:hAnsi="Times New Roman;serif"/>
                <w:b w:val="false"/>
                <w:color w:val="000000"/>
                <w:sz w:val="24"/>
              </w:rPr>
            </w:pPr>
            <w:r>
              <w:rPr>
                <w:rFonts w:ascii="Times New Roman;serif" w:hAnsi="Times New Roman;serif"/>
                <w:b w:val="false"/>
                <w:color w:val="000000"/>
                <w:sz w:val="24"/>
              </w:rPr>
              <w:t>$51,162,790.69</w:t>
            </w:r>
          </w:p>
        </w:tc>
        <w:tc>
          <w:tcPr>
            <w:tcW w:w="2339" w:type="dxa"/>
            <w:gridSpan w:val="3"/>
            <w:tcBorders/>
            <w:tcMar>
              <w:top w:w="0" w:type="dxa"/>
              <w:left w:w="0" w:type="dxa"/>
              <w:bottom w:w="0" w:type="dxa"/>
              <w:right w:w="0" w:type="dxa"/>
            </w:tcMar>
            <w:vAlign w:val="center"/>
          </w:tcPr>
          <w:p>
            <w:pPr>
              <w:pStyle w:val="TableContents"/>
              <w:bidi w:val="0"/>
              <w:spacing w:lineRule="auto" w:line="288" w:before="60" w:after="60"/>
              <w:jc w:val="center"/>
              <w:rPr>
                <w:rFonts w:ascii="Times New Roman;serif" w:hAnsi="Times New Roman;serif"/>
                <w:b w:val="false"/>
                <w:color w:val="000000"/>
                <w:sz w:val="24"/>
              </w:rPr>
            </w:pPr>
            <w:r>
              <w:rPr>
                <w:rFonts w:ascii="Times New Roman;serif" w:hAnsi="Times New Roman;serif"/>
                <w:b w:val="false"/>
                <w:color w:val="000000"/>
                <w:sz w:val="24"/>
              </w:rPr>
              <w:t>5.11627907%</w:t>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Royal Bank of Canada </w:t>
            </w:r>
          </w:p>
        </w:tc>
        <w:tc>
          <w:tcPr>
            <w:tcW w:w="1906" w:type="dxa"/>
            <w:gridSpan w:val="3"/>
            <w:tcBorders/>
            <w:tcMar>
              <w:top w:w="0" w:type="dxa"/>
              <w:left w:w="0" w:type="dxa"/>
              <w:bottom w:w="0" w:type="dxa"/>
              <w:right w:w="0" w:type="dxa"/>
            </w:tcMar>
            <w:vAlign w:val="center"/>
          </w:tcPr>
          <w:p>
            <w:pPr>
              <w:pStyle w:val="TableContents"/>
              <w:bidi w:val="0"/>
              <w:spacing w:lineRule="auto" w:line="288" w:before="60" w:after="60"/>
              <w:jc w:val="left"/>
              <w:rPr>
                <w:rFonts w:ascii="Times New Roman;serif" w:hAnsi="Times New Roman;serif"/>
                <w:b w:val="false"/>
                <w:color w:val="000000"/>
                <w:sz w:val="24"/>
              </w:rPr>
            </w:pPr>
            <w:r>
              <w:rPr>
                <w:rFonts w:ascii="Times New Roman;serif" w:hAnsi="Times New Roman;serif"/>
                <w:b w:val="false"/>
                <w:color w:val="000000"/>
                <w:sz w:val="24"/>
              </w:rPr>
              <w:t>$51,162,790.69</w:t>
            </w:r>
          </w:p>
        </w:tc>
        <w:tc>
          <w:tcPr>
            <w:tcW w:w="2339" w:type="dxa"/>
            <w:gridSpan w:val="3"/>
            <w:tcBorders/>
            <w:tcMar>
              <w:top w:w="0" w:type="dxa"/>
              <w:left w:w="0" w:type="dxa"/>
              <w:bottom w:w="0" w:type="dxa"/>
              <w:right w:w="0" w:type="dxa"/>
            </w:tcMar>
            <w:vAlign w:val="center"/>
          </w:tcPr>
          <w:p>
            <w:pPr>
              <w:pStyle w:val="TableContents"/>
              <w:bidi w:val="0"/>
              <w:spacing w:lineRule="auto" w:line="288" w:before="60" w:after="60"/>
              <w:jc w:val="center"/>
              <w:rPr>
                <w:rFonts w:ascii="Times New Roman;serif" w:hAnsi="Times New Roman;serif"/>
                <w:b w:val="false"/>
                <w:color w:val="000000"/>
                <w:sz w:val="24"/>
              </w:rPr>
            </w:pPr>
            <w:r>
              <w:rPr>
                <w:rFonts w:ascii="Times New Roman;serif" w:hAnsi="Times New Roman;serif"/>
                <w:b w:val="false"/>
                <w:color w:val="000000"/>
                <w:sz w:val="24"/>
              </w:rPr>
              <w:t>5.11627907%</w:t>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Sumitomo Mitsui Banking Corp.</w:t>
            </w:r>
          </w:p>
        </w:tc>
        <w:tc>
          <w:tcPr>
            <w:tcW w:w="1906" w:type="dxa"/>
            <w:gridSpan w:val="3"/>
            <w:tcBorders/>
            <w:tcMar>
              <w:top w:w="0" w:type="dxa"/>
              <w:left w:w="0" w:type="dxa"/>
              <w:bottom w:w="0" w:type="dxa"/>
              <w:right w:w="0" w:type="dxa"/>
            </w:tcMar>
            <w:vAlign w:val="center"/>
          </w:tcPr>
          <w:p>
            <w:pPr>
              <w:pStyle w:val="TableContents"/>
              <w:bidi w:val="0"/>
              <w:spacing w:lineRule="auto" w:line="288" w:before="60" w:after="60"/>
              <w:jc w:val="left"/>
              <w:rPr>
                <w:rFonts w:ascii="Times New Roman;serif" w:hAnsi="Times New Roman;serif"/>
                <w:b w:val="false"/>
                <w:color w:val="000000"/>
                <w:sz w:val="24"/>
              </w:rPr>
            </w:pPr>
            <w:r>
              <w:rPr>
                <w:rFonts w:ascii="Times New Roman;serif" w:hAnsi="Times New Roman;serif"/>
                <w:b w:val="false"/>
                <w:color w:val="000000"/>
                <w:sz w:val="24"/>
              </w:rPr>
              <w:t>$51,162,790.69</w:t>
            </w:r>
          </w:p>
        </w:tc>
        <w:tc>
          <w:tcPr>
            <w:tcW w:w="2339" w:type="dxa"/>
            <w:gridSpan w:val="3"/>
            <w:tcBorders/>
            <w:tcMar>
              <w:top w:w="0" w:type="dxa"/>
              <w:left w:w="0" w:type="dxa"/>
              <w:bottom w:w="0" w:type="dxa"/>
              <w:right w:w="0" w:type="dxa"/>
            </w:tcMar>
            <w:vAlign w:val="center"/>
          </w:tcPr>
          <w:p>
            <w:pPr>
              <w:pStyle w:val="TableContents"/>
              <w:bidi w:val="0"/>
              <w:spacing w:lineRule="auto" w:line="288" w:before="60" w:after="60"/>
              <w:jc w:val="center"/>
              <w:rPr>
                <w:rFonts w:ascii="Times New Roman;serif" w:hAnsi="Times New Roman;serif"/>
                <w:b w:val="false"/>
                <w:color w:val="000000"/>
                <w:sz w:val="24"/>
              </w:rPr>
            </w:pPr>
            <w:r>
              <w:rPr>
                <w:rFonts w:ascii="Times New Roman;serif" w:hAnsi="Times New Roman;serif"/>
                <w:b w:val="false"/>
                <w:color w:val="000000"/>
                <w:sz w:val="24"/>
              </w:rPr>
              <w:t>5.11627907%</w:t>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The Bank of Nova Scotia, Houston Branch</w:t>
            </w:r>
          </w:p>
        </w:tc>
        <w:tc>
          <w:tcPr>
            <w:tcW w:w="1906" w:type="dxa"/>
            <w:gridSpan w:val="3"/>
            <w:tcBorders/>
            <w:tcMar>
              <w:top w:w="0" w:type="dxa"/>
              <w:left w:w="0" w:type="dxa"/>
              <w:bottom w:w="0" w:type="dxa"/>
              <w:right w:w="0" w:type="dxa"/>
            </w:tcMar>
            <w:vAlign w:val="center"/>
          </w:tcPr>
          <w:p>
            <w:pPr>
              <w:pStyle w:val="TableContents"/>
              <w:bidi w:val="0"/>
              <w:spacing w:lineRule="auto" w:line="288" w:before="60" w:after="60"/>
              <w:jc w:val="left"/>
              <w:rPr>
                <w:rFonts w:ascii="Times New Roman;serif" w:hAnsi="Times New Roman;serif"/>
                <w:b w:val="false"/>
                <w:color w:val="000000"/>
                <w:sz w:val="24"/>
              </w:rPr>
            </w:pPr>
            <w:r>
              <w:rPr>
                <w:rFonts w:ascii="Times New Roman;serif" w:hAnsi="Times New Roman;serif"/>
                <w:b w:val="false"/>
                <w:color w:val="000000"/>
                <w:sz w:val="24"/>
              </w:rPr>
              <w:t>$51,162,790.69</w:t>
            </w:r>
          </w:p>
        </w:tc>
        <w:tc>
          <w:tcPr>
            <w:tcW w:w="2339" w:type="dxa"/>
            <w:gridSpan w:val="3"/>
            <w:tcBorders/>
            <w:tcMar>
              <w:top w:w="0" w:type="dxa"/>
              <w:left w:w="0" w:type="dxa"/>
              <w:bottom w:w="0" w:type="dxa"/>
              <w:right w:w="0" w:type="dxa"/>
            </w:tcMar>
            <w:vAlign w:val="center"/>
          </w:tcPr>
          <w:p>
            <w:pPr>
              <w:pStyle w:val="TableContents"/>
              <w:bidi w:val="0"/>
              <w:spacing w:lineRule="auto" w:line="288" w:before="60" w:after="60"/>
              <w:jc w:val="center"/>
              <w:rPr>
                <w:rFonts w:ascii="Times New Roman;serif" w:hAnsi="Times New Roman;serif"/>
                <w:b w:val="false"/>
                <w:color w:val="000000"/>
                <w:sz w:val="24"/>
              </w:rPr>
            </w:pPr>
            <w:r>
              <w:rPr>
                <w:rFonts w:ascii="Times New Roman;serif" w:hAnsi="Times New Roman;serif"/>
                <w:b w:val="false"/>
                <w:color w:val="000000"/>
                <w:sz w:val="24"/>
              </w:rPr>
              <w:t>5.11627907%</w:t>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The Toronto-Dominion Bank, New York Branch</w:t>
            </w:r>
          </w:p>
        </w:tc>
        <w:tc>
          <w:tcPr>
            <w:tcW w:w="1906" w:type="dxa"/>
            <w:gridSpan w:val="3"/>
            <w:tcBorders/>
            <w:tcMar>
              <w:top w:w="0" w:type="dxa"/>
              <w:left w:w="0" w:type="dxa"/>
              <w:bottom w:w="0" w:type="dxa"/>
              <w:right w:w="0" w:type="dxa"/>
            </w:tcMar>
            <w:vAlign w:val="center"/>
          </w:tcPr>
          <w:p>
            <w:pPr>
              <w:pStyle w:val="TableContents"/>
              <w:bidi w:val="0"/>
              <w:spacing w:lineRule="auto" w:line="288" w:before="60" w:after="60"/>
              <w:jc w:val="left"/>
              <w:rPr>
                <w:rFonts w:ascii="Times New Roman;serif" w:hAnsi="Times New Roman;serif"/>
                <w:b w:val="false"/>
                <w:color w:val="000000"/>
                <w:sz w:val="24"/>
              </w:rPr>
            </w:pPr>
            <w:r>
              <w:rPr>
                <w:rFonts w:ascii="Times New Roman;serif" w:hAnsi="Times New Roman;serif"/>
                <w:b w:val="false"/>
                <w:color w:val="000000"/>
                <w:sz w:val="24"/>
              </w:rPr>
              <w:t>$51,162,790.69</w:t>
            </w:r>
          </w:p>
        </w:tc>
        <w:tc>
          <w:tcPr>
            <w:tcW w:w="2339" w:type="dxa"/>
            <w:gridSpan w:val="3"/>
            <w:tcBorders/>
            <w:tcMar>
              <w:top w:w="0" w:type="dxa"/>
              <w:left w:w="0" w:type="dxa"/>
              <w:bottom w:w="0" w:type="dxa"/>
              <w:right w:w="0" w:type="dxa"/>
            </w:tcMar>
            <w:vAlign w:val="center"/>
          </w:tcPr>
          <w:p>
            <w:pPr>
              <w:pStyle w:val="TableContents"/>
              <w:bidi w:val="0"/>
              <w:spacing w:lineRule="auto" w:line="288" w:before="60" w:after="60"/>
              <w:jc w:val="center"/>
              <w:rPr>
                <w:rFonts w:ascii="Times New Roman;serif" w:hAnsi="Times New Roman;serif"/>
                <w:b w:val="false"/>
                <w:color w:val="000000"/>
                <w:sz w:val="24"/>
              </w:rPr>
            </w:pPr>
            <w:r>
              <w:rPr>
                <w:rFonts w:ascii="Times New Roman;serif" w:hAnsi="Times New Roman;serif"/>
                <w:b w:val="false"/>
                <w:color w:val="000000"/>
                <w:sz w:val="24"/>
              </w:rPr>
              <w:t>5.11627907%</w:t>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Bank of America, N.A.</w:t>
            </w:r>
          </w:p>
        </w:tc>
        <w:tc>
          <w:tcPr>
            <w:tcW w:w="1906" w:type="dxa"/>
            <w:gridSpan w:val="3"/>
            <w:tcBorders/>
            <w:tcMar>
              <w:top w:w="0" w:type="dxa"/>
              <w:left w:w="0" w:type="dxa"/>
              <w:bottom w:w="0" w:type="dxa"/>
              <w:right w:w="0" w:type="dxa"/>
            </w:tcMar>
            <w:vAlign w:val="center"/>
          </w:tcPr>
          <w:p>
            <w:pPr>
              <w:pStyle w:val="TableContents"/>
              <w:bidi w:val="0"/>
              <w:spacing w:lineRule="auto" w:line="288" w:before="60" w:after="60"/>
              <w:jc w:val="left"/>
              <w:rPr>
                <w:rFonts w:ascii="Times New Roman;serif" w:hAnsi="Times New Roman;serif"/>
                <w:b w:val="false"/>
                <w:color w:val="000000"/>
                <w:sz w:val="24"/>
              </w:rPr>
            </w:pPr>
            <w:r>
              <w:rPr>
                <w:rFonts w:ascii="Times New Roman;serif" w:hAnsi="Times New Roman;serif"/>
                <w:b w:val="false"/>
                <w:color w:val="000000"/>
                <w:sz w:val="24"/>
              </w:rPr>
              <w:t>$51,162,790.69</w:t>
            </w:r>
          </w:p>
        </w:tc>
        <w:tc>
          <w:tcPr>
            <w:tcW w:w="2339" w:type="dxa"/>
            <w:gridSpan w:val="3"/>
            <w:tcBorders/>
            <w:tcMar>
              <w:top w:w="0" w:type="dxa"/>
              <w:left w:w="0" w:type="dxa"/>
              <w:bottom w:w="0" w:type="dxa"/>
              <w:right w:w="0" w:type="dxa"/>
            </w:tcMar>
            <w:vAlign w:val="center"/>
          </w:tcPr>
          <w:p>
            <w:pPr>
              <w:pStyle w:val="TableContents"/>
              <w:bidi w:val="0"/>
              <w:spacing w:lineRule="auto" w:line="288" w:before="60" w:after="60"/>
              <w:jc w:val="center"/>
              <w:rPr>
                <w:rFonts w:ascii="Times New Roman;serif" w:hAnsi="Times New Roman;serif"/>
                <w:b w:val="false"/>
                <w:color w:val="000000"/>
                <w:sz w:val="24"/>
              </w:rPr>
            </w:pPr>
            <w:r>
              <w:rPr>
                <w:rFonts w:ascii="Times New Roman;serif" w:hAnsi="Times New Roman;serif"/>
                <w:b w:val="false"/>
                <w:color w:val="000000"/>
                <w:sz w:val="24"/>
              </w:rPr>
              <w:t>5.11627907%</w:t>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Credit Agricole Corporate and Investment Bank</w:t>
            </w:r>
          </w:p>
        </w:tc>
        <w:tc>
          <w:tcPr>
            <w:tcW w:w="1906" w:type="dxa"/>
            <w:gridSpan w:val="3"/>
            <w:tcBorders/>
            <w:tcMar>
              <w:top w:w="0" w:type="dxa"/>
              <w:left w:w="0" w:type="dxa"/>
              <w:bottom w:w="0" w:type="dxa"/>
              <w:right w:w="0" w:type="dxa"/>
            </w:tcMar>
            <w:vAlign w:val="center"/>
          </w:tcPr>
          <w:p>
            <w:pPr>
              <w:pStyle w:val="TableContents"/>
              <w:bidi w:val="0"/>
              <w:spacing w:lineRule="auto" w:line="288" w:before="60" w:after="60"/>
              <w:jc w:val="left"/>
              <w:rPr>
                <w:rFonts w:ascii="Times New Roman;serif" w:hAnsi="Times New Roman;serif"/>
                <w:b w:val="false"/>
                <w:color w:val="000000"/>
                <w:sz w:val="24"/>
              </w:rPr>
            </w:pPr>
            <w:r>
              <w:rPr>
                <w:rFonts w:ascii="Times New Roman;serif" w:hAnsi="Times New Roman;serif"/>
                <w:b w:val="false"/>
                <w:color w:val="000000"/>
                <w:sz w:val="24"/>
              </w:rPr>
              <w:t>$51,162,790.69</w:t>
            </w:r>
          </w:p>
        </w:tc>
        <w:tc>
          <w:tcPr>
            <w:tcW w:w="2339" w:type="dxa"/>
            <w:gridSpan w:val="3"/>
            <w:tcBorders/>
            <w:tcMar>
              <w:top w:w="0" w:type="dxa"/>
              <w:left w:w="0" w:type="dxa"/>
              <w:bottom w:w="0" w:type="dxa"/>
              <w:right w:w="0" w:type="dxa"/>
            </w:tcMar>
            <w:vAlign w:val="center"/>
          </w:tcPr>
          <w:p>
            <w:pPr>
              <w:pStyle w:val="TableContents"/>
              <w:bidi w:val="0"/>
              <w:spacing w:lineRule="auto" w:line="288" w:before="60" w:after="60"/>
              <w:jc w:val="center"/>
              <w:rPr>
                <w:rFonts w:ascii="Times New Roman;serif" w:hAnsi="Times New Roman;serif"/>
                <w:b w:val="false"/>
                <w:color w:val="000000"/>
                <w:sz w:val="24"/>
              </w:rPr>
            </w:pPr>
            <w:r>
              <w:rPr>
                <w:rFonts w:ascii="Times New Roman;serif" w:hAnsi="Times New Roman;serif"/>
                <w:b w:val="false"/>
                <w:color w:val="000000"/>
                <w:sz w:val="24"/>
              </w:rPr>
              <w:t>5.11627907%</w:t>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PNC Bank, National Association</w:t>
            </w:r>
          </w:p>
        </w:tc>
        <w:tc>
          <w:tcPr>
            <w:tcW w:w="1906" w:type="dxa"/>
            <w:gridSpan w:val="3"/>
            <w:tcBorders/>
            <w:tcMar>
              <w:top w:w="0" w:type="dxa"/>
              <w:left w:w="0" w:type="dxa"/>
              <w:bottom w:w="0" w:type="dxa"/>
              <w:right w:w="0" w:type="dxa"/>
            </w:tcMar>
            <w:vAlign w:val="center"/>
          </w:tcPr>
          <w:p>
            <w:pPr>
              <w:pStyle w:val="TableContents"/>
              <w:bidi w:val="0"/>
              <w:spacing w:lineRule="auto" w:line="288" w:before="60" w:after="60"/>
              <w:jc w:val="left"/>
              <w:rPr>
                <w:rFonts w:ascii="Times New Roman;serif" w:hAnsi="Times New Roman;serif"/>
                <w:b w:val="false"/>
                <w:color w:val="000000"/>
                <w:sz w:val="24"/>
              </w:rPr>
            </w:pPr>
            <w:r>
              <w:rPr>
                <w:rFonts w:ascii="Times New Roman;serif" w:hAnsi="Times New Roman;serif"/>
                <w:b w:val="false"/>
                <w:color w:val="000000"/>
                <w:sz w:val="24"/>
              </w:rPr>
              <w:t>$51,162,790.69</w:t>
            </w:r>
          </w:p>
        </w:tc>
        <w:tc>
          <w:tcPr>
            <w:tcW w:w="2339" w:type="dxa"/>
            <w:gridSpan w:val="3"/>
            <w:tcBorders/>
            <w:tcMar>
              <w:top w:w="0" w:type="dxa"/>
              <w:left w:w="0" w:type="dxa"/>
              <w:bottom w:w="0" w:type="dxa"/>
              <w:right w:w="0" w:type="dxa"/>
            </w:tcMar>
            <w:vAlign w:val="center"/>
          </w:tcPr>
          <w:p>
            <w:pPr>
              <w:pStyle w:val="TableContents"/>
              <w:bidi w:val="0"/>
              <w:spacing w:lineRule="auto" w:line="288" w:before="60" w:after="60"/>
              <w:jc w:val="center"/>
              <w:rPr>
                <w:rFonts w:ascii="Times New Roman;serif" w:hAnsi="Times New Roman;serif"/>
                <w:b w:val="false"/>
                <w:color w:val="000000"/>
                <w:sz w:val="24"/>
              </w:rPr>
            </w:pPr>
            <w:r>
              <w:rPr>
                <w:rFonts w:ascii="Times New Roman;serif" w:hAnsi="Times New Roman;serif"/>
                <w:b w:val="false"/>
                <w:color w:val="000000"/>
                <w:sz w:val="24"/>
              </w:rPr>
              <w:t>5.11627907%</w:t>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U.S. Bank National Association</w:t>
            </w:r>
          </w:p>
        </w:tc>
        <w:tc>
          <w:tcPr>
            <w:tcW w:w="1906" w:type="dxa"/>
            <w:gridSpan w:val="3"/>
            <w:tcBorders/>
            <w:tcMar>
              <w:top w:w="0" w:type="dxa"/>
              <w:left w:w="0" w:type="dxa"/>
              <w:bottom w:w="0" w:type="dxa"/>
              <w:right w:w="0" w:type="dxa"/>
            </w:tcMar>
            <w:vAlign w:val="center"/>
          </w:tcPr>
          <w:p>
            <w:pPr>
              <w:pStyle w:val="TableContents"/>
              <w:bidi w:val="0"/>
              <w:spacing w:lineRule="auto" w:line="288" w:before="60" w:after="60"/>
              <w:jc w:val="left"/>
              <w:rPr>
                <w:rFonts w:ascii="Times New Roman;serif" w:hAnsi="Times New Roman;serif"/>
                <w:b w:val="false"/>
                <w:color w:val="000000"/>
                <w:sz w:val="24"/>
              </w:rPr>
            </w:pPr>
            <w:r>
              <w:rPr>
                <w:rFonts w:ascii="Times New Roman;serif" w:hAnsi="Times New Roman;serif"/>
                <w:b w:val="false"/>
                <w:color w:val="000000"/>
                <w:sz w:val="24"/>
              </w:rPr>
              <w:t>$51,162,790.69</w:t>
            </w:r>
          </w:p>
        </w:tc>
        <w:tc>
          <w:tcPr>
            <w:tcW w:w="2339" w:type="dxa"/>
            <w:gridSpan w:val="3"/>
            <w:tcBorders/>
            <w:tcMar>
              <w:top w:w="0" w:type="dxa"/>
              <w:left w:w="0" w:type="dxa"/>
              <w:bottom w:w="0" w:type="dxa"/>
              <w:right w:w="0" w:type="dxa"/>
            </w:tcMar>
            <w:vAlign w:val="center"/>
          </w:tcPr>
          <w:p>
            <w:pPr>
              <w:pStyle w:val="TableContents"/>
              <w:bidi w:val="0"/>
              <w:spacing w:lineRule="auto" w:line="288" w:before="60" w:after="60"/>
              <w:jc w:val="center"/>
              <w:rPr>
                <w:rFonts w:ascii="Times New Roman;serif" w:hAnsi="Times New Roman;serif"/>
                <w:b w:val="false"/>
                <w:color w:val="000000"/>
                <w:sz w:val="24"/>
              </w:rPr>
            </w:pPr>
            <w:r>
              <w:rPr>
                <w:rFonts w:ascii="Times New Roman;serif" w:hAnsi="Times New Roman;serif"/>
                <w:b w:val="false"/>
                <w:color w:val="000000"/>
                <w:sz w:val="24"/>
              </w:rPr>
              <w:t>5.11627907%</w:t>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Société Générale</w:t>
            </w:r>
          </w:p>
        </w:tc>
        <w:tc>
          <w:tcPr>
            <w:tcW w:w="1906" w:type="dxa"/>
            <w:gridSpan w:val="3"/>
            <w:tcBorders/>
            <w:tcMar>
              <w:top w:w="0" w:type="dxa"/>
              <w:left w:w="0" w:type="dxa"/>
              <w:bottom w:w="0" w:type="dxa"/>
              <w:right w:w="0" w:type="dxa"/>
            </w:tcMar>
            <w:vAlign w:val="center"/>
          </w:tcPr>
          <w:p>
            <w:pPr>
              <w:pStyle w:val="TableContents"/>
              <w:bidi w:val="0"/>
              <w:spacing w:lineRule="auto" w:line="288" w:before="60" w:after="60"/>
              <w:jc w:val="left"/>
              <w:rPr>
                <w:rFonts w:ascii="Times New Roman;serif" w:hAnsi="Times New Roman;serif"/>
                <w:b w:val="false"/>
                <w:color w:val="000000"/>
                <w:sz w:val="24"/>
              </w:rPr>
            </w:pPr>
            <w:r>
              <w:rPr>
                <w:rFonts w:ascii="Times New Roman;serif" w:hAnsi="Times New Roman;serif"/>
                <w:b w:val="false"/>
                <w:color w:val="000000"/>
                <w:sz w:val="24"/>
              </w:rPr>
              <w:t>$51,162,790.69</w:t>
            </w:r>
          </w:p>
        </w:tc>
        <w:tc>
          <w:tcPr>
            <w:tcW w:w="2339" w:type="dxa"/>
            <w:gridSpan w:val="3"/>
            <w:tcBorders/>
            <w:tcMar>
              <w:top w:w="0" w:type="dxa"/>
              <w:left w:w="0" w:type="dxa"/>
              <w:bottom w:w="0" w:type="dxa"/>
              <w:right w:w="0" w:type="dxa"/>
            </w:tcMar>
            <w:vAlign w:val="center"/>
          </w:tcPr>
          <w:p>
            <w:pPr>
              <w:pStyle w:val="TableContents"/>
              <w:bidi w:val="0"/>
              <w:spacing w:lineRule="auto" w:line="288" w:before="60" w:after="60"/>
              <w:jc w:val="center"/>
              <w:rPr>
                <w:rFonts w:ascii="Times New Roman;serif" w:hAnsi="Times New Roman;serif"/>
                <w:b w:val="false"/>
                <w:color w:val="000000"/>
                <w:sz w:val="24"/>
              </w:rPr>
            </w:pPr>
            <w:r>
              <w:rPr>
                <w:rFonts w:ascii="Times New Roman;serif" w:hAnsi="Times New Roman;serif"/>
                <w:b w:val="false"/>
                <w:color w:val="000000"/>
                <w:sz w:val="24"/>
              </w:rPr>
              <w:t>5.11627907%</w:t>
            </w:r>
          </w:p>
        </w:tc>
      </w:tr>
      <w:tr>
        <w:trPr/>
        <w:tc>
          <w:tcPr>
            <w:tcW w:w="4814"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Times New Roman;serif" w:hAnsi="Times New Roman;serif"/>
                <w:b w:val="false"/>
                <w:color w:val="000000"/>
                <w:sz w:val="24"/>
              </w:rPr>
            </w:pPr>
            <w:r>
              <w:rPr>
                <w:rFonts w:ascii="Times New Roman;serif" w:hAnsi="Times New Roman;serif"/>
                <w:b w:val="false"/>
                <w:color w:val="000000"/>
                <w:sz w:val="24"/>
              </w:rPr>
              <w:t>Banco Bilbao Vizcaya Argentaria, S.A.</w:t>
            </w:r>
          </w:p>
          <w:p>
            <w:pPr>
              <w:pStyle w:val="TableContents"/>
              <w:bidi w:val="0"/>
              <w:spacing w:lineRule="auto" w:line="288" w:before="0" w:after="60"/>
              <w:jc w:val="left"/>
              <w:rPr>
                <w:rFonts w:ascii="Times New Roman;serif" w:hAnsi="Times New Roman;serif"/>
                <w:b w:val="false"/>
                <w:color w:val="000000"/>
                <w:sz w:val="24"/>
              </w:rPr>
            </w:pPr>
            <w:r>
              <w:rPr>
                <w:rFonts w:ascii="Times New Roman;serif" w:hAnsi="Times New Roman;serif"/>
                <w:b w:val="false"/>
                <w:color w:val="000000"/>
                <w:sz w:val="24"/>
              </w:rPr>
              <w:t>New York Branch</w:t>
            </w:r>
          </w:p>
        </w:tc>
        <w:tc>
          <w:tcPr>
            <w:tcW w:w="1906" w:type="dxa"/>
            <w:gridSpan w:val="3"/>
            <w:tcBorders/>
            <w:tcMar>
              <w:top w:w="0" w:type="dxa"/>
              <w:left w:w="0" w:type="dxa"/>
              <w:bottom w:w="0" w:type="dxa"/>
              <w:right w:w="0" w:type="dxa"/>
            </w:tcMar>
            <w:vAlign w:val="center"/>
          </w:tcPr>
          <w:p>
            <w:pPr>
              <w:pStyle w:val="TableContents"/>
              <w:bidi w:val="0"/>
              <w:spacing w:lineRule="auto" w:line="288" w:before="60" w:after="60"/>
              <w:jc w:val="left"/>
              <w:rPr>
                <w:rFonts w:ascii="Times New Roman;serif" w:hAnsi="Times New Roman;serif"/>
                <w:b w:val="false"/>
                <w:color w:val="000000"/>
                <w:sz w:val="24"/>
              </w:rPr>
            </w:pPr>
            <w:r>
              <w:rPr>
                <w:rFonts w:ascii="Times New Roman;serif" w:hAnsi="Times New Roman;serif"/>
                <w:b w:val="false"/>
                <w:color w:val="000000"/>
                <w:sz w:val="24"/>
              </w:rPr>
              <w:t>$45,348,837.23</w:t>
            </w:r>
          </w:p>
        </w:tc>
        <w:tc>
          <w:tcPr>
            <w:tcW w:w="2339" w:type="dxa"/>
            <w:gridSpan w:val="3"/>
            <w:tcBorders/>
            <w:tcMar>
              <w:top w:w="0" w:type="dxa"/>
              <w:left w:w="0" w:type="dxa"/>
              <w:bottom w:w="0" w:type="dxa"/>
              <w:right w:w="0" w:type="dxa"/>
            </w:tcMar>
            <w:vAlign w:val="center"/>
          </w:tcPr>
          <w:p>
            <w:pPr>
              <w:pStyle w:val="TableContents"/>
              <w:bidi w:val="0"/>
              <w:spacing w:lineRule="auto" w:line="288" w:before="60" w:after="60"/>
              <w:jc w:val="center"/>
              <w:rPr>
                <w:rFonts w:ascii="Times New Roman;serif" w:hAnsi="Times New Roman;serif"/>
                <w:b w:val="false"/>
                <w:color w:val="000000"/>
                <w:sz w:val="24"/>
              </w:rPr>
            </w:pPr>
            <w:r>
              <w:rPr>
                <w:rFonts w:ascii="Times New Roman;serif" w:hAnsi="Times New Roman;serif"/>
                <w:b w:val="false"/>
                <w:color w:val="000000"/>
                <w:sz w:val="24"/>
              </w:rPr>
              <w:t>4.53488372%</w:t>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Bank of Montreal</w:t>
            </w:r>
          </w:p>
        </w:tc>
        <w:tc>
          <w:tcPr>
            <w:tcW w:w="1906" w:type="dxa"/>
            <w:gridSpan w:val="3"/>
            <w:tcBorders/>
            <w:tcMar>
              <w:top w:w="0" w:type="dxa"/>
              <w:left w:w="0" w:type="dxa"/>
              <w:bottom w:w="0" w:type="dxa"/>
              <w:right w:w="0" w:type="dxa"/>
            </w:tcMar>
            <w:vAlign w:val="center"/>
          </w:tcPr>
          <w:p>
            <w:pPr>
              <w:pStyle w:val="TableContents"/>
              <w:bidi w:val="0"/>
              <w:spacing w:lineRule="auto" w:line="288" w:before="60" w:after="60"/>
              <w:jc w:val="left"/>
              <w:rPr>
                <w:rFonts w:ascii="Times New Roman;serif" w:hAnsi="Times New Roman;serif"/>
                <w:b w:val="false"/>
                <w:color w:val="000000"/>
                <w:sz w:val="24"/>
              </w:rPr>
            </w:pPr>
            <w:r>
              <w:rPr>
                <w:rFonts w:ascii="Times New Roman;serif" w:hAnsi="Times New Roman;serif"/>
                <w:b w:val="false"/>
                <w:color w:val="000000"/>
                <w:sz w:val="24"/>
              </w:rPr>
              <w:t>$45,348,837.23</w:t>
            </w:r>
          </w:p>
        </w:tc>
        <w:tc>
          <w:tcPr>
            <w:tcW w:w="2339" w:type="dxa"/>
            <w:gridSpan w:val="3"/>
            <w:tcBorders/>
            <w:tcMar>
              <w:top w:w="0" w:type="dxa"/>
              <w:left w:w="0" w:type="dxa"/>
              <w:bottom w:w="0" w:type="dxa"/>
              <w:right w:w="0" w:type="dxa"/>
            </w:tcMar>
            <w:vAlign w:val="center"/>
          </w:tcPr>
          <w:p>
            <w:pPr>
              <w:pStyle w:val="TableContents"/>
              <w:bidi w:val="0"/>
              <w:spacing w:lineRule="auto" w:line="288" w:before="60" w:after="60"/>
              <w:jc w:val="center"/>
              <w:rPr>
                <w:rFonts w:ascii="Times New Roman;serif" w:hAnsi="Times New Roman;serif"/>
                <w:b w:val="false"/>
                <w:color w:val="000000"/>
                <w:sz w:val="24"/>
              </w:rPr>
            </w:pPr>
            <w:r>
              <w:rPr>
                <w:rFonts w:ascii="Times New Roman;serif" w:hAnsi="Times New Roman;serif"/>
                <w:b w:val="false"/>
                <w:color w:val="000000"/>
                <w:sz w:val="24"/>
              </w:rPr>
              <w:t>4.53488372%</w:t>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Deutsche Bank AG New York Branch</w:t>
            </w:r>
          </w:p>
        </w:tc>
        <w:tc>
          <w:tcPr>
            <w:tcW w:w="1906" w:type="dxa"/>
            <w:gridSpan w:val="3"/>
            <w:tcBorders/>
            <w:tcMar>
              <w:top w:w="0" w:type="dxa"/>
              <w:left w:w="0" w:type="dxa"/>
              <w:bottom w:w="0" w:type="dxa"/>
              <w:right w:w="0" w:type="dxa"/>
            </w:tcMar>
            <w:vAlign w:val="center"/>
          </w:tcPr>
          <w:p>
            <w:pPr>
              <w:pStyle w:val="TableContents"/>
              <w:bidi w:val="0"/>
              <w:spacing w:lineRule="auto" w:line="288" w:before="60" w:after="60"/>
              <w:jc w:val="left"/>
              <w:rPr>
                <w:rFonts w:ascii="Times New Roman;serif" w:hAnsi="Times New Roman;serif"/>
                <w:b w:val="false"/>
                <w:color w:val="000000"/>
                <w:sz w:val="24"/>
              </w:rPr>
            </w:pPr>
            <w:r>
              <w:rPr>
                <w:rFonts w:ascii="Times New Roman;serif" w:hAnsi="Times New Roman;serif"/>
                <w:b w:val="false"/>
                <w:color w:val="000000"/>
                <w:sz w:val="24"/>
              </w:rPr>
              <w:t>$45,348,837.23</w:t>
            </w:r>
          </w:p>
        </w:tc>
        <w:tc>
          <w:tcPr>
            <w:tcW w:w="2339" w:type="dxa"/>
            <w:gridSpan w:val="3"/>
            <w:tcBorders/>
            <w:tcMar>
              <w:top w:w="0" w:type="dxa"/>
              <w:left w:w="0" w:type="dxa"/>
              <w:bottom w:w="0" w:type="dxa"/>
              <w:right w:w="0" w:type="dxa"/>
            </w:tcMar>
            <w:vAlign w:val="center"/>
          </w:tcPr>
          <w:p>
            <w:pPr>
              <w:pStyle w:val="TableContents"/>
              <w:bidi w:val="0"/>
              <w:spacing w:lineRule="auto" w:line="288" w:before="60" w:after="60"/>
              <w:jc w:val="center"/>
              <w:rPr>
                <w:rFonts w:ascii="Times New Roman;serif" w:hAnsi="Times New Roman;serif"/>
                <w:b w:val="false"/>
                <w:color w:val="000000"/>
                <w:sz w:val="24"/>
              </w:rPr>
            </w:pPr>
            <w:r>
              <w:rPr>
                <w:rFonts w:ascii="Times New Roman;serif" w:hAnsi="Times New Roman;serif"/>
                <w:b w:val="false"/>
                <w:color w:val="000000"/>
                <w:sz w:val="24"/>
              </w:rPr>
              <w:t>4.53488372%</w:t>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Morgan Stanley Bank, N.A.</w:t>
            </w:r>
          </w:p>
        </w:tc>
        <w:tc>
          <w:tcPr>
            <w:tcW w:w="1906" w:type="dxa"/>
            <w:gridSpan w:val="3"/>
            <w:tcBorders/>
            <w:tcMar>
              <w:top w:w="0" w:type="dxa"/>
              <w:left w:w="0" w:type="dxa"/>
              <w:bottom w:w="0" w:type="dxa"/>
              <w:right w:w="0" w:type="dxa"/>
            </w:tcMar>
            <w:vAlign w:val="center"/>
          </w:tcPr>
          <w:p>
            <w:pPr>
              <w:pStyle w:val="TableContents"/>
              <w:bidi w:val="0"/>
              <w:spacing w:lineRule="auto" w:line="288" w:before="60" w:after="60"/>
              <w:jc w:val="left"/>
              <w:rPr>
                <w:rFonts w:ascii="Times New Roman;serif" w:hAnsi="Times New Roman;serif"/>
                <w:b w:val="false"/>
                <w:color w:val="000000"/>
                <w:sz w:val="24"/>
              </w:rPr>
            </w:pPr>
            <w:r>
              <w:rPr>
                <w:rFonts w:ascii="Times New Roman;serif" w:hAnsi="Times New Roman;serif"/>
                <w:b w:val="false"/>
                <w:color w:val="000000"/>
                <w:sz w:val="24"/>
              </w:rPr>
              <w:t>$45,348,837.23</w:t>
            </w:r>
          </w:p>
        </w:tc>
        <w:tc>
          <w:tcPr>
            <w:tcW w:w="2339" w:type="dxa"/>
            <w:gridSpan w:val="3"/>
            <w:tcBorders/>
            <w:tcMar>
              <w:top w:w="0" w:type="dxa"/>
              <w:left w:w="0" w:type="dxa"/>
              <w:bottom w:w="0" w:type="dxa"/>
              <w:right w:w="0" w:type="dxa"/>
            </w:tcMar>
            <w:vAlign w:val="center"/>
          </w:tcPr>
          <w:p>
            <w:pPr>
              <w:pStyle w:val="TableContents"/>
              <w:bidi w:val="0"/>
              <w:spacing w:lineRule="auto" w:line="288" w:before="60" w:after="60"/>
              <w:jc w:val="center"/>
              <w:rPr>
                <w:rFonts w:ascii="Times New Roman;serif" w:hAnsi="Times New Roman;serif"/>
                <w:b w:val="false"/>
                <w:color w:val="000000"/>
                <w:sz w:val="24"/>
              </w:rPr>
            </w:pPr>
            <w:r>
              <w:rPr>
                <w:rFonts w:ascii="Times New Roman;serif" w:hAnsi="Times New Roman;serif"/>
                <w:b w:val="false"/>
                <w:color w:val="000000"/>
                <w:sz w:val="24"/>
              </w:rPr>
              <w:t>4.53488372%</w:t>
            </w:r>
          </w:p>
        </w:tc>
      </w:tr>
      <w:tr>
        <w:trPr/>
        <w:tc>
          <w:tcPr>
            <w:tcW w:w="48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TOTAL</w:t>
            </w:r>
          </w:p>
        </w:tc>
        <w:tc>
          <w:tcPr>
            <w:tcW w:w="19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60" w:after="60"/>
              <w:jc w:val="left"/>
              <w:rPr>
                <w:rFonts w:ascii="Times New Roman;serif" w:hAnsi="Times New Roman;serif"/>
                <w:b w:val="false"/>
                <w:color w:val="000000"/>
                <w:sz w:val="24"/>
              </w:rPr>
            </w:pPr>
            <w:r>
              <w:rPr>
                <w:rFonts w:ascii="Times New Roman;serif" w:hAnsi="Times New Roman;serif"/>
                <w:b w:val="false"/>
                <w:color w:val="000000"/>
                <w:sz w:val="24"/>
              </w:rPr>
              <w:t>$1,000,000,000.00</w:t>
            </w:r>
          </w:p>
        </w:tc>
        <w:tc>
          <w:tcPr>
            <w:tcW w:w="23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60" w:after="60"/>
              <w:jc w:val="center"/>
              <w:rPr>
                <w:rFonts w:ascii="Times New Roman;serif" w:hAnsi="Times New Roman;serif"/>
                <w:b w:val="false"/>
                <w:color w:val="000000"/>
                <w:sz w:val="24"/>
              </w:rPr>
            </w:pPr>
            <w:r>
              <w:rPr>
                <w:rFonts w:ascii="Times New Roman;serif" w:hAnsi="Times New Roman;serif"/>
                <w:b w:val="false"/>
                <w:color w:val="000000"/>
                <w:sz w:val="24"/>
              </w:rPr>
              <w:t>100%</w:t>
            </w:r>
          </w:p>
        </w:tc>
      </w:tr>
    </w:tbl>
    <w:p>
      <w:pPr>
        <w:pStyle w:val="TextBody"/>
        <w:bidi w:val="0"/>
        <w:spacing w:before="0" w:after="240"/>
        <w:jc w:val="left"/>
        <w:rPr/>
      </w:pPr>
      <w:r>
        <w:rPr/>
      </w:r>
    </w:p>
    <w:p>
      <w:pPr>
        <w:pStyle w:val="TextBody"/>
        <w:bidi w:val="0"/>
        <w:spacing w:before="0" w:after="240"/>
        <w:jc w:val="center"/>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SCHEDULE 3.05</w: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DISCLOSED MATTERS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4"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SCHEDULE 6.06</w:t>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EXISTING RESTRICTIONS</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5"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A</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FORM OF</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ASSIGNMENT AND ASSUMPTION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Assignment and Assumption (the “</w:t>
      </w:r>
      <w:r>
        <w:rPr>
          <w:rFonts w:ascii="Times New Roman;serif" w:hAnsi="Times New Roman;serif"/>
          <w:b w:val="false"/>
          <w:color w:val="000000"/>
          <w:sz w:val="24"/>
          <w:u w:val="single"/>
        </w:rPr>
        <w:t>Assignment and Assumption</w:t>
      </w:r>
      <w:r>
        <w:rPr>
          <w:color w:val="000000"/>
        </w:rPr>
        <w:t>”</w:t>
      </w:r>
      <w:r>
        <w:rPr>
          <w:rFonts w:ascii="Times New Roman;serif" w:hAnsi="Times New Roman;serif"/>
          <w:b w:val="false"/>
          <w:color w:val="000000"/>
          <w:sz w:val="24"/>
        </w:rPr>
        <w:t xml:space="preserve">) is dated as of the Effective Date set forth below and is entered into by and between </w:t>
      </w:r>
      <w:r>
        <w:rPr>
          <w:rFonts w:ascii="Times New Roman;serif" w:hAnsi="Times New Roman;serif"/>
          <w:b w:val="false"/>
          <w:i/>
          <w:color w:val="000000"/>
          <w:sz w:val="24"/>
        </w:rPr>
        <w:t>[Insert name of Assignor]</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Assignor</w:t>
      </w:r>
      <w:r>
        <w:rPr>
          <w:color w:val="000000"/>
        </w:rPr>
        <w:t>”</w:t>
      </w:r>
      <w:r>
        <w:rPr>
          <w:rFonts w:ascii="Times New Roman;serif" w:hAnsi="Times New Roman;serif"/>
          <w:b w:val="false"/>
          <w:color w:val="000000"/>
          <w:sz w:val="24"/>
        </w:rPr>
        <w:t xml:space="preserve">) and </w:t>
      </w:r>
      <w:r>
        <w:rPr>
          <w:rFonts w:ascii="Times New Roman;serif" w:hAnsi="Times New Roman;serif"/>
          <w:b w:val="false"/>
          <w:i/>
          <w:color w:val="000000"/>
          <w:sz w:val="24"/>
        </w:rPr>
        <w:t>[Insert name of Assignee]</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Assignee</w:t>
      </w:r>
      <w:r>
        <w:rPr>
          <w:color w:val="000000"/>
        </w:rPr>
        <w:t>”</w:t>
      </w:r>
      <w:r>
        <w:rPr>
          <w:rFonts w:ascii="Times New Roman;serif" w:hAnsi="Times New Roman;serif"/>
          <w:b w:val="false"/>
          <w:color w:val="000000"/>
          <w:sz w:val="24"/>
        </w:rPr>
        <w:t>). Capitalized terms used but not defined herein shall have the meanings given to them in the Credit Agreement identified below (as amended, the “</w:t>
      </w:r>
      <w:r>
        <w:rPr>
          <w:rFonts w:ascii="Times New Roman;serif" w:hAnsi="Times New Roman;serif"/>
          <w:b w:val="false"/>
          <w:color w:val="000000"/>
          <w:sz w:val="24"/>
          <w:u w:val="single"/>
        </w:rPr>
        <w:t>Credit Agreement</w:t>
      </w:r>
      <w:r>
        <w:rPr>
          <w:color w:val="000000"/>
        </w:rPr>
        <w:t>”</w:t>
      </w:r>
      <w:r>
        <w:rPr>
          <w:rFonts w:ascii="Times New Roman;serif" w:hAnsi="Times New Roman;serif"/>
          <w:b w:val="false"/>
          <w:color w:val="000000"/>
          <w:sz w:val="24"/>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pStyle w:val="TextBody"/>
        <w:bidi w:val="0"/>
        <w:spacing w:lineRule="auto" w:line="288" w:before="0" w:after="240"/>
        <w:ind w:left="0" w:right="0" w:firstLine="720"/>
        <w:jc w:val="both"/>
        <w:rPr/>
      </w:pPr>
      <w:r>
        <w:rPr>
          <w:rFonts w:ascii="Times New Roman;serif" w:hAnsi="Times New Roman;serif"/>
          <w:b w:val="false"/>
          <w:color w:val="000000"/>
          <w:sz w:val="24"/>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Administrative Agent as contemplated below (i) all of the Assignor’s rights and obligations as a Lender under the Credit Agreement and any other documents or instruments delivered pursuant thereto to the extent related to the amount and percentage interest identified below (including, without limitation, any letters of credit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w:t>
      </w:r>
      <w:r>
        <w:rPr>
          <w:rFonts w:ascii="Times New Roman;serif" w:hAnsi="Times New Roman;serif"/>
          <w:b w:val="false"/>
          <w:color w:val="000000"/>
          <w:sz w:val="24"/>
          <w:u w:val="single"/>
        </w:rPr>
        <w:t>Assigned Interest</w:t>
      </w:r>
      <w:r>
        <w:rPr>
          <w:color w:val="000000"/>
        </w:rPr>
        <w:t>”</w:t>
      </w:r>
      <w:r>
        <w:rPr>
          <w:rFonts w:ascii="Times New Roman;serif" w:hAnsi="Times New Roman;serif"/>
          <w:b w:val="false"/>
          <w:color w:val="000000"/>
          <w:sz w:val="24"/>
        </w:rPr>
        <w:t>). Such sale and assignment is without recourse to the Assignor and, except as expressly provided in this Assignment and Assumption, without representation or warranty by the Assignor.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1.    Assignor:    _______________________________</w:t>
      </w:r>
    </w:p>
    <w:p>
      <w:pPr>
        <w:pStyle w:val="TextBody"/>
        <w:bidi w:val="0"/>
        <w:spacing w:lineRule="auto" w:line="288" w:before="0" w:after="240"/>
        <w:jc w:val="both"/>
        <w:rPr/>
      </w:pPr>
      <w:r>
        <w:rPr>
          <w:rFonts w:ascii="Times New Roman;serif" w:hAnsi="Times New Roman;serif"/>
          <w:b w:val="false"/>
          <w:color w:val="000000"/>
          <w:sz w:val="24"/>
        </w:rPr>
        <w:t>2.    Assignee:    _______________________________</w:t>
        <w:br/>
        <w:t>        [and is an Affiliate of [identify Lender]]</w:t>
      </w:r>
      <w:r>
        <w:rPr>
          <w:color w:val="000000"/>
        </w:rPr>
        <w:t xml:space="preserve"> </w:t>
      </w:r>
      <w:r>
        <w:rPr>
          <w:rFonts w:ascii="Times New Roman;serif" w:hAnsi="Times New Roman;serif"/>
          <w:b w:val="false"/>
          <w:color w:val="000000"/>
          <w:sz w:val="16"/>
        </w:rPr>
        <w:t>1</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3.    Borrower:    Enterprise Products Operating LLC</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4.    Administrative Agent:     Citibank, N.A., as the administrative agent under the Credit Agreement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5.    Credit Agreement:    Revolving Credit Agreement dated as of July 28, 2026 among Borrower, the Lenders from time to time party thereto, and the Administrative Agent.</w:t>
      </w:r>
    </w:p>
    <w:p>
      <w:pPr>
        <w:pStyle w:val="TextBody"/>
        <w:bidi w:val="0"/>
        <w:spacing w:lineRule="auto" w:line="288"/>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Select as applicable.</w:t>
      </w:r>
    </w:p>
    <w:p>
      <w:pPr>
        <w:pStyle w:val="TextBody"/>
        <w:bidi w:val="0"/>
        <w:spacing w:before="0" w:after="0"/>
        <w:jc w:val="both"/>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6"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6.    Assigned Interest:</w:t>
      </w:r>
    </w:p>
    <w:tbl>
      <w:tblPr>
        <w:tblW w:w="10205" w:type="dxa"/>
        <w:jc w:val="left"/>
        <w:tblInd w:w="0" w:type="dxa"/>
        <w:tblLayout w:type="fixed"/>
        <w:tblCellMar>
          <w:top w:w="28" w:type="dxa"/>
          <w:left w:w="28" w:type="dxa"/>
          <w:bottom w:w="28" w:type="dxa"/>
          <w:right w:w="28" w:type="dxa"/>
        </w:tblCellMar>
      </w:tblPr>
      <w:tblGrid>
        <w:gridCol w:w="522"/>
        <w:gridCol w:w="422"/>
        <w:gridCol w:w="425"/>
        <w:gridCol w:w="1225"/>
        <w:gridCol w:w="1225"/>
        <w:gridCol w:w="1227"/>
        <w:gridCol w:w="929"/>
        <w:gridCol w:w="929"/>
        <w:gridCol w:w="931"/>
        <w:gridCol w:w="693"/>
        <w:gridCol w:w="693"/>
        <w:gridCol w:w="984"/>
      </w:tblGrid>
      <w:tr>
        <w:trPr/>
        <w:tc>
          <w:tcPr>
            <w:tcW w:w="5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r>
      <w:tr>
        <w:trPr/>
        <w:tc>
          <w:tcPr>
            <w:tcW w:w="1369"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Facility Assigned</w:t>
            </w:r>
          </w:p>
        </w:tc>
        <w:tc>
          <w:tcPr>
            <w:tcW w:w="3677"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Amount of Commitment/Loans for all Lenders</w:t>
            </w:r>
          </w:p>
        </w:tc>
        <w:tc>
          <w:tcPr>
            <w:tcW w:w="2789"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 of Commitment/Loans Assigned</w:t>
            </w:r>
            <w:r>
              <w:rPr>
                <w:rFonts w:ascii="Times New Roman;serif" w:hAnsi="Times New Roman;serif"/>
                <w:b/>
                <w:color w:val="000000"/>
                <w:sz w:val="13"/>
              </w:rPr>
              <w:t>2</w:t>
            </w:r>
          </w:p>
        </w:tc>
        <w:tc>
          <w:tcPr>
            <w:tcW w:w="2370" w:type="dxa"/>
            <w:gridSpan w:val="3"/>
            <w:tcBorders>
              <w:top w:val="single" w:sz="4" w:space="0" w:color="000000"/>
              <w:left w:val="single" w:sz="4" w:space="0" w:color="000000"/>
              <w:right w:val="single" w:sz="4" w:space="0" w:color="000000"/>
            </w:tcBorders>
            <w:tcMar>
              <w:top w:w="30" w:type="dxa"/>
              <w:left w:w="51" w:type="dxa"/>
              <w:bottom w:w="0" w:type="dxa"/>
              <w:right w:w="51"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Percentage</w:t>
              <w:br/>
              <w:t>Assigned of Commitment/Loans</w:t>
            </w:r>
            <w:r>
              <w:rPr>
                <w:rFonts w:ascii="Times New Roman;serif" w:hAnsi="Times New Roman;serif"/>
                <w:b/>
                <w:color w:val="000000"/>
                <w:sz w:val="13"/>
              </w:rPr>
              <w:t>3</w:t>
            </w:r>
          </w:p>
        </w:tc>
      </w:tr>
      <w:tr>
        <w:trPr/>
        <w:tc>
          <w:tcPr>
            <w:tcW w:w="1369"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w:t>
            </w:r>
          </w:p>
        </w:tc>
        <w:tc>
          <w:tcPr>
            <w:tcW w:w="3677"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89"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70" w:type="dxa"/>
            <w:gridSpan w:val="3"/>
            <w:tcBorders>
              <w:top w:val="single" w:sz="4" w:space="0" w:color="000000"/>
              <w:left w:val="single" w:sz="4" w:space="0" w:color="000000"/>
              <w:bottom w:val="single" w:sz="4" w:space="0" w:color="000000"/>
              <w:right w:val="single" w:sz="4" w:space="0" w:color="000000"/>
            </w:tcBorders>
            <w:tcMar>
              <w:top w:w="30" w:type="dxa"/>
              <w:bottom w:w="30" w:type="dxa"/>
              <w:right w:w="82"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40"/>
        <w:jc w:val="both"/>
        <w:rPr/>
      </w:pPr>
      <w:r>
        <w:rPr>
          <w:rFonts w:ascii="Times New Roman;serif" w:hAnsi="Times New Roman;serif"/>
          <w:b w:val="false"/>
          <w:color w:val="000000"/>
          <w:sz w:val="24"/>
        </w:rPr>
        <w:t>7.    [Trade Date:    _______________________________</w:t>
      </w:r>
      <w:r>
        <w:rPr>
          <w:rFonts w:ascii="Times New Roman;serif" w:hAnsi="Times New Roman;serif"/>
          <w:b w:val="false"/>
          <w:color w:val="000000"/>
          <w:sz w:val="16"/>
        </w:rPr>
        <w:t>4</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Effective Date: ___________________, 20___ [TO BE INSERTED BY ADMINISTRATIVE AGENT AND WHICH SHALL BE THE EFFECTIVE DATE OF RECORDATION OF TRANSFER IN THE REGISTER THEREFOR.]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terms set forth in this Assignment and Assumption are hereby agreed to:</w:t>
      </w:r>
    </w:p>
    <w:p>
      <w:pPr>
        <w:pStyle w:val="TextBody"/>
        <w:bidi w:val="0"/>
        <w:spacing w:lineRule="auto" w:line="288" w:before="240" w:after="240"/>
        <w:jc w:val="left"/>
        <w:rPr/>
      </w:pPr>
      <w:r>
        <w:rPr>
          <w:rFonts w:ascii="Times New Roman;serif" w:hAnsi="Times New Roman;serif"/>
          <w:b/>
          <w:color w:val="000000"/>
          <w:sz w:val="24"/>
        </w:rPr>
        <w:t>ASSIGNOR</w:t>
        <w:br/>
      </w:r>
      <w:r>
        <w:rPr>
          <w:rFonts w:ascii="Times New Roman;serif" w:hAnsi="Times New Roman;serif"/>
          <w:b w:val="false"/>
          <w:color w:val="000000"/>
          <w:sz w:val="24"/>
        </w:rPr>
        <w:t>[NAME OF ASSIGNOR]</w:t>
        <w:br/>
        <w:br/>
        <w:br/>
        <w:t>By:    </w:t>
      </w:r>
      <w:r>
        <w:rPr>
          <w:color w:val="000000"/>
          <w:u w:val="single"/>
        </w:rPr>
        <w:t>                </w:t>
      </w:r>
      <w:r>
        <w:rPr>
          <w:rFonts w:ascii="Times New Roman;serif" w:hAnsi="Times New Roman;serif"/>
          <w:b w:val="false"/>
          <w:color w:val="000000"/>
          <w:sz w:val="24"/>
        </w:rPr>
        <w:br/>
        <w:t>    Title:</w:t>
      </w:r>
    </w:p>
    <w:p>
      <w:pPr>
        <w:pStyle w:val="TextBody"/>
        <w:bidi w:val="0"/>
        <w:spacing w:lineRule="auto" w:line="288" w:before="240" w:after="480"/>
        <w:jc w:val="left"/>
        <w:rPr/>
      </w:pPr>
      <w:r>
        <w:rPr>
          <w:rFonts w:ascii="Times New Roman;serif" w:hAnsi="Times New Roman;serif"/>
          <w:b/>
          <w:color w:val="000000"/>
          <w:sz w:val="24"/>
        </w:rPr>
        <w:t>ASSIGNEE</w:t>
        <w:br/>
      </w:r>
      <w:r>
        <w:rPr>
          <w:rFonts w:ascii="Times New Roman;serif" w:hAnsi="Times New Roman;serif"/>
          <w:b w:val="false"/>
          <w:color w:val="000000"/>
          <w:sz w:val="24"/>
        </w:rPr>
        <w:t>[NAME OF ASSIGNEE]</w:t>
        <w:br/>
        <w:br/>
        <w:br/>
        <w:t>By:    </w:t>
      </w:r>
      <w:r>
        <w:rPr>
          <w:color w:val="000000"/>
          <w:u w:val="single"/>
        </w:rPr>
        <w:t>                </w:t>
      </w:r>
      <w:r>
        <w:rPr>
          <w:rFonts w:ascii="Times New Roman;serif" w:hAnsi="Times New Roman;serif"/>
          <w:b w:val="false"/>
          <w:color w:val="000000"/>
          <w:sz w:val="24"/>
        </w:rPr>
        <w:br/>
        <w:t>    Title:</w:t>
      </w:r>
    </w:p>
    <w:p>
      <w:pPr>
        <w:pStyle w:val="TextBody"/>
        <w:bidi w:val="0"/>
        <w:spacing w:lineRule="auto" w:line="288" w:before="0" w:after="240"/>
        <w:jc w:val="left"/>
        <w:rPr/>
      </w:pPr>
      <w:r>
        <w:rPr>
          <w:rFonts w:ascii="Times New Roman;serif" w:hAnsi="Times New Roman;serif"/>
          <w:b w:val="false"/>
          <w:color w:val="000000"/>
          <w:sz w:val="24"/>
        </w:rPr>
        <w:t>[Consented to and]</w:t>
      </w:r>
      <w:r>
        <w:rPr>
          <w:rFonts w:ascii="Times New Roman;serif" w:hAnsi="Times New Roman;serif"/>
          <w:b w:val="false"/>
          <w:color w:val="000000"/>
          <w:sz w:val="16"/>
        </w:rPr>
        <w:t>5</w:t>
      </w:r>
      <w:r>
        <w:rPr>
          <w:color w:val="000000"/>
        </w:rPr>
        <w:t xml:space="preserve"> </w:t>
      </w:r>
      <w:r>
        <w:rPr>
          <w:rFonts w:ascii="Times New Roman;serif" w:hAnsi="Times New Roman;serif"/>
          <w:b w:val="false"/>
          <w:color w:val="000000"/>
          <w:sz w:val="24"/>
        </w:rPr>
        <w:t>Accepted:</w:t>
        <w:br/>
        <w:br/>
        <w:t>CITIBANK, N.A., as</w:t>
        <w:br/>
        <w:t>Administrative Agent</w:t>
        <w:br/>
        <w:br/>
        <w:br/>
        <w:t>By:</w:t>
      </w:r>
      <w:r>
        <w:rPr>
          <w:color w:val="000000"/>
          <w:u w:val="single"/>
        </w:rPr>
        <w:t>                            </w:t>
      </w:r>
      <w:r>
        <w:rPr>
          <w:rFonts w:ascii="Times New Roman;serif" w:hAnsi="Times New Roman;serif"/>
          <w:b w:val="false"/>
          <w:color w:val="000000"/>
          <w:sz w:val="24"/>
        </w:rPr>
        <w:br/>
        <w:t>    Title</w:t>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Amount to be adjusted by the counterparties to take into account any payments or prepayments made between the Trade Date and the Effective Date.</w:t>
      </w:r>
    </w:p>
    <w:p>
      <w:pPr>
        <w:pStyle w:val="TextBody"/>
        <w:bidi w:val="0"/>
        <w:spacing w:lineRule="auto" w:line="288" w:before="0" w:after="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Set forth, to at least nine decimals, as a percentage of the Commitment/Loans of all Lenders thereunder.</w:t>
      </w:r>
    </w:p>
    <w:p>
      <w:pPr>
        <w:pStyle w:val="TextBody"/>
        <w:bidi w:val="0"/>
        <w:spacing w:lineRule="auto" w:line="288" w:before="0" w:after="0"/>
        <w:jc w:val="left"/>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To be completed if the Assignor and the Assignee intend that the minimum assignment amount is to be determined as of the Trade Date.</w:t>
      </w:r>
    </w:p>
    <w:p>
      <w:pPr>
        <w:pStyle w:val="TextBody"/>
        <w:bidi w:val="0"/>
        <w:spacing w:lineRule="auto" w:line="288"/>
        <w:jc w:val="left"/>
        <w:rPr/>
      </w:pP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To be added only if the consent of Administrative Agent is required by the terms of the Credit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7"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Exhibit A – Page 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Exhibit A – Page 2    </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[Consented to]</w:t>
      </w:r>
      <w:r>
        <w:rPr>
          <w:rFonts w:ascii="Times New Roman;serif" w:hAnsi="Times New Roman;serif"/>
          <w:b w:val="false"/>
          <w:color w:val="000000"/>
          <w:sz w:val="16"/>
        </w:rPr>
        <w:t>6</w:t>
      </w:r>
      <w:r>
        <w:rPr>
          <w:rFonts w:ascii="Times New Roman;serif" w:hAnsi="Times New Roman;serif"/>
          <w:b w:val="false"/>
          <w:color w:val="000000"/>
          <w:sz w:val="24"/>
        </w:rPr>
        <w:t>:</w:t>
        <w:br/>
        <w:br/>
        <w:t>ENTERPRISE PRODUCTS OPERATING LLC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Enterprise Products OLPGP, Inc.,</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its Manager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By:    </w:t>
      </w:r>
      <w:r>
        <w:rPr>
          <w:color w:val="000000"/>
          <w:u w:val="single"/>
        </w:rPr>
        <w:t>                        </w:t>
      </w:r>
      <w:r>
        <w:rPr>
          <w:rFonts w:ascii="Times New Roman;serif" w:hAnsi="Times New Roman;serif"/>
          <w:b w:val="false"/>
          <w:color w:val="000000"/>
          <w:sz w:val="24"/>
        </w:rPr>
        <w:br/>
        <w:t>    Title</w:t>
      </w:r>
    </w:p>
    <w:p>
      <w:pPr>
        <w:pStyle w:val="TextBody"/>
        <w:bidi w:val="0"/>
        <w:spacing w:lineRule="auto" w:line="288" w:before="0" w:after="0"/>
        <w:jc w:val="left"/>
        <w:rPr/>
      </w:pP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To be added only if the consent of Borrower is required by the terms of the Credit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8"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Exhibit A – Page 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Exhibit A – Page 3    </w:t>
                      </w:r>
                    </w:p>
                  </w:txbxContent>
                </v:textbox>
                <w10:wrap type="none"/>
              </v:rect>
            </w:pict>
          </mc:Fallback>
        </mc:AlternateContent>
      </w:r>
    </w:p>
    <w:p>
      <w:pPr>
        <w:pStyle w:val="TextBody"/>
        <w:bidi w:val="0"/>
        <w:spacing w:lineRule="auto" w:line="288" w:before="0" w:after="240"/>
        <w:jc w:val="right"/>
        <w:rPr>
          <w:rFonts w:ascii="Times New Roman;serif" w:hAnsi="Times New Roman;serif"/>
          <w:b w:val="false"/>
          <w:color w:val="000000"/>
          <w:sz w:val="24"/>
        </w:rPr>
      </w:pPr>
      <w:r>
        <w:rPr>
          <w:rFonts w:ascii="Times New Roman;serif" w:hAnsi="Times New Roman;serif"/>
          <w:b w:val="false"/>
          <w:color w:val="000000"/>
          <w:sz w:val="24"/>
        </w:rPr>
        <w:t>ANNEX 1 to Assignment and Assumption</w:t>
      </w:r>
    </w:p>
    <w:p>
      <w:pPr>
        <w:pStyle w:val="TextBody"/>
        <w:bidi w:val="0"/>
        <w:spacing w:lineRule="auto" w:line="288" w:before="0" w:after="240"/>
        <w:jc w:val="center"/>
        <w:rPr/>
      </w:pPr>
      <w:r>
        <w:rPr>
          <w:rFonts w:ascii="Times New Roman;serif" w:hAnsi="Times New Roman;serif"/>
          <w:b w:val="false"/>
          <w:color w:val="000000"/>
          <w:sz w:val="24"/>
        </w:rPr>
        <w:t>STANDARD TERMS AND CONDITIONS</w:t>
        <w:br/>
      </w:r>
      <w:r>
        <w:rPr>
          <w:rFonts w:ascii="Times New Roman;serif" w:hAnsi="Times New Roman;serif"/>
          <w:b w:val="false"/>
          <w:color w:val="000000"/>
          <w:sz w:val="24"/>
          <w:u w:val="single"/>
        </w:rPr>
        <w:t>FOR ASSIGNMENT AND ASSUMPTION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    Representations and Warranties.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1.1    </w:t>
      </w:r>
      <w:r>
        <w:rPr>
          <w:rFonts w:ascii="Times New Roman;serif" w:hAnsi="Times New Roman;serif"/>
          <w:b w:val="false"/>
          <w:color w:val="000000"/>
          <w:sz w:val="24"/>
          <w:u w:val="single"/>
        </w:rPr>
        <w:t>Assignor</w:t>
      </w:r>
      <w:r>
        <w:rPr>
          <w:rFonts w:ascii="Times New Roman;serif" w:hAnsi="Times New Roman;serif"/>
          <w:b w:val="false"/>
          <w:color w:val="000000"/>
          <w:sz w:val="24"/>
        </w:rPr>
        <w:t>.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Borrower, any of its Subsidiaries or Affiliates or any other Person obligated in respect of any loan document or (iv) the performance or observance by Borrower, any of its Subsidiaries or Affiliates or any other Person of any of their respective obligations under any loan document.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1.2    </w:t>
      </w:r>
      <w:r>
        <w:rPr>
          <w:rFonts w:ascii="Times New Roman;serif" w:hAnsi="Times New Roman;serif"/>
          <w:b w:val="false"/>
          <w:color w:val="000000"/>
          <w:sz w:val="24"/>
          <w:u w:val="single"/>
        </w:rPr>
        <w:t>Assignee</w:t>
      </w:r>
      <w:r>
        <w:rPr>
          <w:rFonts w:ascii="Times New Roman;serif" w:hAnsi="Times New Roman;serif"/>
          <w:b w:val="false"/>
          <w:color w:val="000000"/>
          <w:sz w:val="24"/>
        </w:rPr>
        <w:t xml:space="preserve">. The Assignee (a) represents and warrants that (i) it has full power and authority, and has taken all action necessary, to execute and deliver this Assignment and Assumption and to consummate the transactions contemplated hereby and to become a Lender under the Credit Agreement, (ii) it meets all requirements of an assignee under </w:t>
      </w:r>
      <w:r>
        <w:rPr>
          <w:rFonts w:ascii="Times New Roman;serif" w:hAnsi="Times New Roman;serif"/>
          <w:b w:val="false"/>
          <w:color w:val="000000"/>
          <w:sz w:val="24"/>
          <w:u w:val="single"/>
        </w:rPr>
        <w:t>Section 9.04(b)</w:t>
      </w:r>
      <w:r>
        <w:rPr>
          <w:color w:val="000000"/>
        </w:rPr>
        <w:t xml:space="preserve"> </w:t>
      </w:r>
      <w:r>
        <w:rPr>
          <w:rFonts w:ascii="Times New Roman;serif" w:hAnsi="Times New Roman;serif"/>
          <w:b w:val="false"/>
          <w:color w:val="000000"/>
          <w:sz w:val="24"/>
        </w:rPr>
        <w:t xml:space="preserve">of the Credit Agreement (subject to receipt of such consents as may be required under the Credit Agreement) as a Lender thereunder and, to the extent of the Assigned Interest, shall have the obligations of a Lender thereunder, (iv) it has received a copy of the Credit Agreement, together with copies of the most recent financial statements delivered pursuant to </w:t>
      </w:r>
      <w:r>
        <w:rPr>
          <w:rFonts w:ascii="Times New Roman;serif" w:hAnsi="Times New Roman;serif"/>
          <w:b w:val="false"/>
          <w:color w:val="000000"/>
          <w:sz w:val="24"/>
          <w:u w:val="single"/>
        </w:rPr>
        <w:t>Section 6.2</w:t>
      </w:r>
      <w:r>
        <w:rPr>
          <w:color w:val="000000"/>
        </w:rPr>
        <w:t xml:space="preserve"> </w:t>
      </w:r>
      <w:r>
        <w:rPr>
          <w:rFonts w:ascii="Times New Roman;serif" w:hAnsi="Times New Roman;serif"/>
          <w:b w:val="false"/>
          <w:color w:val="000000"/>
          <w:sz w:val="24"/>
        </w:rPr>
        <w:t>thereof, as applicable,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Administrative Agent or any other Lender, and (v) if it is a Foreign Lender, attached to the Assignment and Assumption is any documentation required to be delivered by it pursuant to the terms of the Credit Agreement, duly completed and executed by the Assignee; and (b) agrees that (i) it will, independently and without reliance on Administrative Agent, the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that by the terms of the loan documents are required to be performed by it as a Lender.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2.    </w:t>
      </w:r>
      <w:r>
        <w:rPr>
          <w:rFonts w:ascii="Times New Roman;serif" w:hAnsi="Times New Roman;serif"/>
          <w:b w:val="false"/>
          <w:color w:val="000000"/>
          <w:sz w:val="24"/>
          <w:u w:val="single"/>
        </w:rPr>
        <w:t>Payments</w:t>
      </w:r>
      <w:r>
        <w:rPr>
          <w:rFonts w:ascii="Times New Roman;serif" w:hAnsi="Times New Roman;serif"/>
          <w:b w:val="false"/>
          <w:color w:val="000000"/>
          <w:sz w:val="24"/>
        </w:rPr>
        <w:t>. From and after the Effective Date, Administrative Agent shall make all payments in respect of the Assigned Interest (including payments of principal, interest, fees and other amounts) to the Assignor for amounts that have accrued to but excluding the Effective Date and to the Assignee for amounts that have accrued from and after the Effective Date.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3.    </w:t>
      </w:r>
      <w:r>
        <w:rPr>
          <w:rFonts w:ascii="Times New Roman;serif" w:hAnsi="Times New Roman;serif"/>
          <w:b w:val="false"/>
          <w:color w:val="000000"/>
          <w:sz w:val="24"/>
          <w:u w:val="single"/>
        </w:rPr>
        <w:t>General Provisions</w:t>
      </w:r>
      <w:r>
        <w:rPr>
          <w:rFonts w:ascii="Times New Roman;serif" w:hAnsi="Times New Roman;serif"/>
          <w:b w:val="false"/>
          <w:color w:val="000000"/>
          <w:sz w:val="24"/>
        </w:rPr>
        <w:t xml:space="preserve">. This Assignment and Assumption shall be binding upon, and inure to the benefit of, the parties hereto and their respective successors and assigns. This </w:t>
      </w:r>
    </w:p>
    <w:p>
      <w:pPr>
        <w:pStyle w:val="TextBody"/>
        <w:bidi w:val="0"/>
        <w:spacing w:before="0" w:after="0"/>
        <w:jc w:val="both"/>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09"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laws of the State of New York.</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0"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B</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OF BORROWING REQUEST</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Dated __________</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Citibank, N.A.,</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as Administrative Agent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__________</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Attention: 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Ladies and Gentlemen:</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This Borrowing Request is delivered to you by Enterprise Products Operating LLC (the “Borrower”), a Texas limited liability company, under </w:t>
      </w:r>
      <w:r>
        <w:rPr>
          <w:rFonts w:ascii="Times New Roman;serif" w:hAnsi="Times New Roman;serif"/>
          <w:b w:val="false"/>
          <w:color w:val="000000"/>
          <w:sz w:val="24"/>
          <w:u w:val="single"/>
        </w:rPr>
        <w:t>Section 2.03</w:t>
      </w:r>
      <w:r>
        <w:rPr>
          <w:color w:val="000000"/>
        </w:rPr>
        <w:t xml:space="preserve"> </w:t>
      </w:r>
      <w:r>
        <w:rPr>
          <w:rFonts w:ascii="Times New Roman;serif" w:hAnsi="Times New Roman;serif"/>
          <w:b w:val="false"/>
          <w:color w:val="000000"/>
          <w:sz w:val="24"/>
        </w:rPr>
        <w:t>of the Revolving Credit Agreement dated as of July 28, 2026 (as restated, amended, modified, supplemented and in effect, the “Credit Agreement”), by and among the Borrower, the Lenders party thereto, and Citibank, N.A., as Administrative Agent.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1.    The Borrower hereby requests that the Lenders make a Loan or Loans in the aggregate principal amount of $______________ (the “Loan” or the “Loans”).</w:t>
      </w:r>
      <w:r>
        <w:rPr>
          <w:rFonts w:ascii="Times New Roman;serif" w:hAnsi="Times New Roman;serif"/>
          <w:b w:val="false"/>
          <w:color w:val="000000"/>
          <w:sz w:val="16"/>
          <w:u w:val="single"/>
        </w:rPr>
        <w:t>1</w:t>
      </w:r>
      <w:r>
        <w:rPr>
          <w:rFonts w:ascii="Times New Roman;serif" w:hAnsi="Times New Roman;serif"/>
          <w:b w:val="false"/>
          <w:color w:val="000000"/>
          <w:sz w:val="16"/>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2.    The Borrower hereby requests that the Loan or Loans be made on the following Business Day: </w:t>
      </w:r>
      <w:r>
        <w:rPr>
          <w:rFonts w:ascii="Times New Roman;serif" w:hAnsi="Times New Roman;serif"/>
          <w:b w:val="false"/>
          <w:color w:val="000000"/>
          <w:sz w:val="16"/>
          <w:u w:val="single"/>
        </w:rPr>
        <w:t>2</w:t>
      </w:r>
      <w:r>
        <w:rPr>
          <w:rFonts w:ascii="Times New Roman;serif" w:hAnsi="Times New Roman;serif"/>
          <w:b w:val="false"/>
          <w:color w:val="000000"/>
          <w:sz w:val="16"/>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3.    The Borrower hereby requests that the Loan or Loans bear interest at the following interest rate,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the Applicable Rate, as set forth below:</w:t>
      </w:r>
    </w:p>
    <w:tbl>
      <w:tblPr>
        <w:tblW w:w="6928" w:type="dxa"/>
        <w:jc w:val="left"/>
        <w:tblInd w:w="0" w:type="dxa"/>
        <w:tblLayout w:type="fixed"/>
        <w:tblCellMar>
          <w:top w:w="28" w:type="dxa"/>
          <w:left w:w="28" w:type="dxa"/>
          <w:bottom w:w="28" w:type="dxa"/>
          <w:right w:w="28" w:type="dxa"/>
        </w:tblCellMar>
      </w:tblPr>
      <w:tblGrid>
        <w:gridCol w:w="325"/>
        <w:gridCol w:w="286"/>
        <w:gridCol w:w="288"/>
        <w:gridCol w:w="519"/>
        <w:gridCol w:w="519"/>
        <w:gridCol w:w="521"/>
        <w:gridCol w:w="295"/>
        <w:gridCol w:w="295"/>
        <w:gridCol w:w="296"/>
        <w:gridCol w:w="539"/>
        <w:gridCol w:w="539"/>
        <w:gridCol w:w="541"/>
        <w:gridCol w:w="575"/>
        <w:gridCol w:w="575"/>
        <w:gridCol w:w="815"/>
      </w:tblGrid>
      <w:tr>
        <w:trPr/>
        <w:tc>
          <w:tcPr>
            <w:tcW w:w="32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Type of</w:t>
            </w:r>
          </w:p>
          <w:p>
            <w:pPr>
              <w:pStyle w:val="TableContents"/>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Loan</w:t>
            </w:r>
          </w:p>
        </w:tc>
        <w:tc>
          <w:tcPr>
            <w:tcW w:w="15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Principal</w:t>
            </w:r>
          </w:p>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Component of</w:t>
            </w:r>
          </w:p>
          <w:p>
            <w:pPr>
              <w:pStyle w:val="TableContents"/>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Loan</w:t>
            </w:r>
          </w:p>
        </w:tc>
        <w:tc>
          <w:tcPr>
            <w:tcW w:w="8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Interest</w:t>
            </w:r>
          </w:p>
          <w:p>
            <w:pPr>
              <w:pStyle w:val="TableContents"/>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Rate</w:t>
            </w:r>
          </w:p>
        </w:tc>
        <w:tc>
          <w:tcPr>
            <w:tcW w:w="161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Interest Period</w:t>
            </w:r>
          </w:p>
          <w:p>
            <w:pPr>
              <w:pStyle w:val="TableContents"/>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(if applicable)</w:t>
            </w:r>
          </w:p>
        </w:tc>
        <w:tc>
          <w:tcPr>
            <w:tcW w:w="19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Maturity Date for</w:t>
            </w:r>
          </w:p>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Interest Period</w:t>
            </w:r>
          </w:p>
          <w:p>
            <w:pPr>
              <w:pStyle w:val="TableContents"/>
              <w:bidi w:val="0"/>
              <w:spacing w:lineRule="auto" w:line="288" w:before="0" w:after="0"/>
              <w:jc w:val="center"/>
              <w:rPr>
                <w:color w:val="000000"/>
                <w:u w:val="single"/>
              </w:rPr>
            </w:pPr>
            <w:r>
              <w:rPr>
                <w:color w:val="000000"/>
                <w:u w:val="single"/>
              </w:rPr>
              <w:t> </w:t>
            </w:r>
            <w:r>
              <w:rPr>
                <w:rFonts w:ascii="Times New Roman;serif" w:hAnsi="Times New Roman;serif"/>
                <w:b/>
                <w:color w:val="000000"/>
                <w:sz w:val="24"/>
                <w:u w:val="single"/>
              </w:rPr>
              <w:t>(if applicable)</w:t>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    The Borrower hereby requests that the funds from the Loan or Loans be disbursed to the following bank account: ______________________________.</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5.    After giving effect to the requested Loan, the sum of the Exposures (including the requested Loans) does not exceed the maximum amount permitted to be outstanding pursuant to the terms of the Credit Agreement.</w:t>
      </w:r>
    </w:p>
    <w:p>
      <w:pPr>
        <w:pStyle w:val="TextBody"/>
        <w:bidi w:val="0"/>
        <w:spacing w:lineRule="auto" w:line="288" w:before="0" w:after="240"/>
        <w:jc w:val="both"/>
        <w:rPr/>
      </w:pPr>
      <w:r>
        <w:rPr>
          <w:rFonts w:ascii="Times New Roman;serif" w:hAnsi="Times New Roman;serif"/>
          <w:b w:val="false"/>
          <w:color w:val="000000"/>
          <w:sz w:val="20"/>
        </w:rPr>
        <w:t xml:space="preserve">1. Complete with an amount in accordance with </w:t>
      </w:r>
      <w:r>
        <w:rPr>
          <w:rFonts w:ascii="Times New Roman;serif" w:hAnsi="Times New Roman;serif"/>
          <w:b w:val="false"/>
          <w:color w:val="000000"/>
          <w:sz w:val="20"/>
          <w:u w:val="single"/>
        </w:rPr>
        <w:t>Section 2.03</w:t>
      </w:r>
      <w:r>
        <w:rPr>
          <w:color w:val="000000"/>
        </w:rPr>
        <w:t xml:space="preserve"> </w:t>
      </w:r>
      <w:r>
        <w:rPr>
          <w:rFonts w:ascii="Times New Roman;serif" w:hAnsi="Times New Roman;serif"/>
          <w:b w:val="false"/>
          <w:color w:val="000000"/>
          <w:sz w:val="20"/>
        </w:rPr>
        <w:t>of the Credit Agreement.</w:t>
      </w:r>
    </w:p>
    <w:p>
      <w:pPr>
        <w:pStyle w:val="TextBody"/>
        <w:bidi w:val="0"/>
        <w:spacing w:lineRule="auto" w:line="288" w:before="0" w:after="240"/>
        <w:jc w:val="both"/>
        <w:rPr/>
      </w:pPr>
      <w:r>
        <w:rPr>
          <w:rFonts w:ascii="Times New Roman;serif" w:hAnsi="Times New Roman;serif"/>
          <w:b w:val="false"/>
          <w:color w:val="000000"/>
          <w:sz w:val="20"/>
        </w:rPr>
        <w:t xml:space="preserve">2. Complete with a Business Day in accordance with </w:t>
      </w:r>
      <w:r>
        <w:rPr>
          <w:rFonts w:ascii="Times New Roman;serif" w:hAnsi="Times New Roman;serif"/>
          <w:b w:val="false"/>
          <w:color w:val="000000"/>
          <w:sz w:val="20"/>
          <w:u w:val="single"/>
        </w:rPr>
        <w:t>Section 2.03</w:t>
      </w:r>
      <w:r>
        <w:rPr>
          <w:color w:val="000000"/>
        </w:rPr>
        <w:t xml:space="preserve"> </w:t>
      </w:r>
      <w:r>
        <w:rPr>
          <w:rFonts w:ascii="Times New Roman;serif" w:hAnsi="Times New Roman;serif"/>
          <w:b w:val="false"/>
          <w:color w:val="000000"/>
          <w:sz w:val="20"/>
        </w:rPr>
        <w:t>of the Credit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1"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6.    All of the conditions applicable to the Loans requested herein as set forth in the Credit Agreement have been satisfied as of the date hereof and will remain satisfied to the date of such Loans.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7.    All capitalized undefined terms used herein have the meanings assigned thereto in the Credit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undersigned have executed this Borrowing Request this _____ day of _______________, 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ENTERPRISE PRODUCTS OPERATING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By:    Enterprise Products OLPGP, Inc.,</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its Manager</w:t>
      </w:r>
    </w:p>
    <w:p>
      <w:pPr>
        <w:pStyle w:val="TextBody"/>
        <w:bidi w:val="0"/>
        <w:spacing w:before="0" w:after="240"/>
        <w:jc w:val="both"/>
        <w:rPr/>
      </w:pPr>
      <w:r>
        <w:rPr/>
      </w:r>
    </w:p>
    <w:p>
      <w:pPr>
        <w:pStyle w:val="TextBody"/>
        <w:bidi w:val="0"/>
        <w:spacing w:lineRule="auto" w:line="288" w:before="0" w:after="0"/>
        <w:jc w:val="both"/>
        <w:rPr/>
      </w:pPr>
      <w:r>
        <w:rPr>
          <w:rFonts w:ascii="Times New Roman;serif" w:hAnsi="Times New Roman;serif"/>
          <w:b w:val="false"/>
          <w:color w:val="000000"/>
          <w:sz w:val="24"/>
        </w:rPr>
        <w:t>By:</w:t>
      </w:r>
      <w:r>
        <w:rPr>
          <w:color w:val="000000"/>
          <w:u w:val="single"/>
        </w:rPr>
        <w:t>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Name:</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Title: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2"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C</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FORM OF</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INTEREST ELECTION REQUEST</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Dated _____________</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Citibank, N.A.,</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as Administrative Agent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__________</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Attention: 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Ladies and Gentlemen:</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This irrevocable Interest Election Request (the “Request”) is delivered to you under </w:t>
      </w:r>
      <w:r>
        <w:rPr>
          <w:rFonts w:ascii="Times New Roman;serif" w:hAnsi="Times New Roman;serif"/>
          <w:b w:val="false"/>
          <w:color w:val="000000"/>
          <w:sz w:val="24"/>
          <w:u w:val="single"/>
        </w:rPr>
        <w:t>Section 2.07</w:t>
      </w:r>
      <w:r>
        <w:rPr>
          <w:color w:val="000000"/>
        </w:rPr>
        <w:t xml:space="preserve"> </w:t>
      </w:r>
      <w:r>
        <w:rPr>
          <w:rFonts w:ascii="Times New Roman;serif" w:hAnsi="Times New Roman;serif"/>
          <w:b w:val="false"/>
          <w:color w:val="000000"/>
          <w:sz w:val="24"/>
        </w:rPr>
        <w:t>of the Revolving Credit Agreement dated as of July 28, 2026 (as restated, amended, modified, supplemented and in effect from time to time, the “Credit Agreement”), by and among Enterprise Products Operating LLC, a Texas limited liability company (the “Company”), the Lenders party thereto (the “Lenders”), and Citibank, N.A., as Administrative Agent.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    This Interest Election Request is submitted for the purpose of:</w:t>
      </w:r>
    </w:p>
    <w:p>
      <w:pPr>
        <w:pStyle w:val="TextBody"/>
        <w:bidi w:val="0"/>
        <w:spacing w:lineRule="auto" w:line="288" w:before="0" w:after="240"/>
        <w:ind w:left="0" w:right="0" w:firstLine="720"/>
        <w:jc w:val="both"/>
        <w:rPr/>
      </w:pPr>
      <w:r>
        <w:rPr>
          <w:rFonts w:ascii="Times New Roman;serif" w:hAnsi="Times New Roman;serif"/>
          <w:b w:val="false"/>
          <w:color w:val="000000"/>
          <w:sz w:val="24"/>
        </w:rPr>
        <w:t>(a)    [Converting] [Continuing] a ____________ Loan [into] [as] a ____________ Loan.</w:t>
      </w:r>
      <w:r>
        <w:rPr>
          <w:rFonts w:ascii="Times New Roman;serif" w:hAnsi="Times New Roman;serif"/>
          <w:b w:val="false"/>
          <w:color w:val="000000"/>
          <w:sz w:val="16"/>
          <w:u w:val="single"/>
        </w:rPr>
        <w:t>1</w:t>
      </w:r>
      <w:r>
        <w:rPr>
          <w:rFonts w:ascii="Times New Roman;serif" w:hAnsi="Times New Roman;serif"/>
          <w:b w:val="false"/>
          <w:color w:val="000000"/>
          <w:sz w:val="16"/>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aggregate outstanding principal balance of such Loan is $______________.</w:t>
      </w:r>
    </w:p>
    <w:p>
      <w:pPr>
        <w:pStyle w:val="TextBody"/>
        <w:bidi w:val="0"/>
        <w:spacing w:lineRule="auto" w:line="288" w:before="0" w:after="240"/>
        <w:ind w:left="0" w:right="0" w:firstLine="720"/>
        <w:jc w:val="both"/>
        <w:rPr/>
      </w:pPr>
      <w:r>
        <w:rPr>
          <w:rFonts w:ascii="Times New Roman;serif" w:hAnsi="Times New Roman;serif"/>
          <w:b w:val="false"/>
          <w:color w:val="000000"/>
          <w:sz w:val="24"/>
        </w:rPr>
        <w:t>(c)    The last day of the current Interest Period for such Loan is _____________.</w:t>
      </w:r>
      <w:r>
        <w:rPr>
          <w:rFonts w:ascii="Times New Roman;serif" w:hAnsi="Times New Roman;serif"/>
          <w:b w:val="false"/>
          <w:color w:val="000000"/>
          <w:sz w:val="16"/>
          <w:u w:val="single"/>
        </w:rPr>
        <w:t>2</w:t>
      </w:r>
      <w:r>
        <w:rPr>
          <w:rFonts w:ascii="Times New Roman;serif" w:hAnsi="Times New Roman;serif"/>
          <w:b w:val="false"/>
          <w:color w:val="000000"/>
          <w:sz w:val="16"/>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(d)    The principal amount of such Loan to be [converted] [continued] is $_____________.</w:t>
      </w:r>
      <w:r>
        <w:rPr>
          <w:rFonts w:ascii="Times New Roman;serif" w:hAnsi="Times New Roman;serif"/>
          <w:b w:val="false"/>
          <w:color w:val="000000"/>
          <w:sz w:val="16"/>
          <w:u w:val="single"/>
        </w:rPr>
        <w:t>3</w:t>
      </w:r>
      <w:r>
        <w:rPr>
          <w:rFonts w:ascii="Times New Roman;serif" w:hAnsi="Times New Roman;serif"/>
          <w:b w:val="false"/>
          <w:color w:val="000000"/>
          <w:sz w:val="16"/>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(e)    The requested effective date of the [conversion] [continuation] of such Loan is _______________.</w:t>
      </w:r>
      <w:r>
        <w:rPr>
          <w:rFonts w:ascii="Times New Roman;serif" w:hAnsi="Times New Roman;serif"/>
          <w:b w:val="false"/>
          <w:color w:val="000000"/>
          <w:sz w:val="16"/>
          <w:u w:val="single"/>
        </w:rPr>
        <w:t>4</w:t>
      </w:r>
      <w:r>
        <w:rPr>
          <w:rFonts w:ascii="Times New Roman;serif" w:hAnsi="Times New Roman;serif"/>
          <w:b w:val="false"/>
          <w:color w:val="000000"/>
          <w:sz w:val="16"/>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(f)    The requested Interest Period applicable to the [converted] [continued] Loan is ____________________.</w:t>
      </w:r>
      <w:r>
        <w:rPr>
          <w:rFonts w:ascii="Times New Roman;serif" w:hAnsi="Times New Roman;serif"/>
          <w:b w:val="false"/>
          <w:color w:val="000000"/>
          <w:sz w:val="16"/>
          <w:u w:val="single"/>
        </w:rPr>
        <w:t>5</w:t>
      </w:r>
      <w:r>
        <w:rPr>
          <w:rFonts w:ascii="Times New Roman;serif" w:hAnsi="Times New Roman;serif"/>
          <w:b w:val="false"/>
          <w:color w:val="000000"/>
          <w:sz w:val="16"/>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    With respect to a Borrowing to be converted to or continued as a SOFR Borrowing, no Event of Default exists, and none will exist upon the conversion or continuation of the Borrowing requested herein.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 Delete the bracketed language and insert “ABR” or “SOFR”, as applicable, in each blank.</w:t>
      </w:r>
    </w:p>
    <w:p>
      <w:pPr>
        <w:pStyle w:val="TextBody"/>
        <w:bidi w:val="0"/>
        <w:spacing w:lineRule="auto" w:line="288" w:before="0" w:after="0"/>
        <w:ind w:left="0" w:right="0" w:hanging="1440"/>
        <w:jc w:val="both"/>
        <w:rPr>
          <w:rFonts w:ascii="Times New Roman;serif" w:hAnsi="Times New Roman;serif"/>
          <w:b w:val="false"/>
          <w:color w:val="000000"/>
          <w:sz w:val="20"/>
        </w:rPr>
      </w:pPr>
      <w:r>
        <w:rPr>
          <w:rFonts w:ascii="Times New Roman;serif" w:hAnsi="Times New Roman;serif"/>
          <w:b w:val="false"/>
          <w:color w:val="000000"/>
          <w:sz w:val="20"/>
        </w:rPr>
        <w:t>2. Insert applicable date for any SOFR Loan being converted or continued.</w:t>
      </w:r>
    </w:p>
    <w:p>
      <w:pPr>
        <w:pStyle w:val="TextBody"/>
        <w:bidi w:val="0"/>
        <w:spacing w:lineRule="auto" w:line="288" w:before="0" w:after="0"/>
        <w:jc w:val="both"/>
        <w:rPr/>
      </w:pPr>
      <w:r>
        <w:rPr>
          <w:rFonts w:ascii="Times New Roman;serif" w:hAnsi="Times New Roman;serif"/>
          <w:b w:val="false"/>
          <w:color w:val="000000"/>
          <w:sz w:val="20"/>
        </w:rPr>
        <w:t xml:space="preserve">3. Complete with an amount in compliance with </w:t>
      </w:r>
      <w:r>
        <w:rPr>
          <w:rFonts w:ascii="Times New Roman;serif" w:hAnsi="Times New Roman;serif"/>
          <w:b w:val="false"/>
          <w:color w:val="000000"/>
          <w:sz w:val="20"/>
          <w:u w:val="single"/>
        </w:rPr>
        <w:t>Section 2.08</w:t>
      </w:r>
      <w:r>
        <w:rPr>
          <w:color w:val="000000"/>
        </w:rPr>
        <w:t xml:space="preserve"> </w:t>
      </w:r>
      <w:r>
        <w:rPr>
          <w:rFonts w:ascii="Times New Roman;serif" w:hAnsi="Times New Roman;serif"/>
          <w:b w:val="false"/>
          <w:color w:val="000000"/>
          <w:sz w:val="20"/>
        </w:rPr>
        <w:t>of the Credit Agreement.</w:t>
      </w:r>
    </w:p>
    <w:p>
      <w:pPr>
        <w:pStyle w:val="TextBody"/>
        <w:bidi w:val="0"/>
        <w:spacing w:lineRule="auto" w:line="288" w:before="0" w:after="0"/>
        <w:jc w:val="left"/>
        <w:rPr/>
      </w:pPr>
      <w:r>
        <w:rPr>
          <w:rFonts w:ascii="Times New Roman;serif" w:hAnsi="Times New Roman;serif"/>
          <w:b w:val="false"/>
          <w:color w:val="000000"/>
          <w:sz w:val="20"/>
        </w:rPr>
        <w:t xml:space="preserve">4. Complete with a Business Day in compliance with </w:t>
      </w:r>
      <w:r>
        <w:rPr>
          <w:rFonts w:ascii="Times New Roman;serif" w:hAnsi="Times New Roman;serif"/>
          <w:b w:val="false"/>
          <w:color w:val="000000"/>
          <w:sz w:val="20"/>
          <w:u w:val="single"/>
        </w:rPr>
        <w:t>Section 2.08</w:t>
      </w:r>
      <w:r>
        <w:rPr>
          <w:color w:val="000000"/>
        </w:rPr>
        <w:t xml:space="preserve"> </w:t>
      </w:r>
      <w:r>
        <w:rPr>
          <w:rFonts w:ascii="Times New Roman;serif" w:hAnsi="Times New Roman;serif"/>
          <w:b w:val="false"/>
          <w:color w:val="000000"/>
          <w:sz w:val="20"/>
        </w:rPr>
        <w:t>of the Credit Agreement.</w:t>
      </w:r>
    </w:p>
    <w:p>
      <w:pPr>
        <w:pStyle w:val="TextBody"/>
        <w:bidi w:val="0"/>
        <w:spacing w:lineRule="auto" w:line="288" w:before="0" w:after="240"/>
        <w:jc w:val="left"/>
        <w:rPr/>
      </w:pPr>
      <w:r>
        <w:rPr>
          <w:rFonts w:ascii="Times New Roman;serif" w:hAnsi="Times New Roman;serif"/>
          <w:b w:val="false"/>
          <w:color w:val="000000"/>
          <w:sz w:val="20"/>
        </w:rPr>
        <w:t xml:space="preserve">5. Complete for each SOFR Loan in compliance with the definition of the term “Interest Period” specified in </w:t>
      </w:r>
      <w:r>
        <w:rPr>
          <w:rFonts w:ascii="Times New Roman;serif" w:hAnsi="Times New Roman;serif"/>
          <w:b w:val="false"/>
          <w:color w:val="000000"/>
          <w:sz w:val="20"/>
          <w:u w:val="single"/>
        </w:rPr>
        <w:t>Section 1.01</w:t>
      </w:r>
      <w:r>
        <w:rPr>
          <w:rFonts w:ascii="Times New Roman;serif" w:hAnsi="Times New Roman;serif"/>
          <w:b w:val="false"/>
          <w:color w:val="000000"/>
          <w:sz w:val="20"/>
        </w:rPr>
        <w:t>.</w:t>
      </w:r>
    </w:p>
    <w:p>
      <w:pPr>
        <w:pStyle w:val="TextBody"/>
        <w:bidi w:val="0"/>
        <w:spacing w:before="0" w:after="0"/>
        <w:jc w:val="both"/>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3"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    All capitalized undefined terms used herein have the meanings assigned thereto in the Credit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IN WITNESS WHEREOF, the undersigned has executed this Interest Election Request this _____ day of ___________________, ____.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ENTERPRISE PRODUCTS OPERATING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By:    Enterprise Products OLPGP, Inc.,</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its Manager</w:t>
      </w:r>
    </w:p>
    <w:p>
      <w:pPr>
        <w:pStyle w:val="TextBody"/>
        <w:bidi w:val="0"/>
        <w:spacing w:before="0" w:after="240"/>
        <w:jc w:val="both"/>
        <w:rPr/>
      </w:pPr>
      <w:r>
        <w:rPr/>
      </w:r>
    </w:p>
    <w:p>
      <w:pPr>
        <w:pStyle w:val="TextBody"/>
        <w:bidi w:val="0"/>
        <w:spacing w:lineRule="auto" w:line="288" w:before="0" w:after="0"/>
        <w:jc w:val="both"/>
        <w:rPr/>
      </w:pPr>
      <w:r>
        <w:rPr>
          <w:rFonts w:ascii="Times New Roman;serif" w:hAnsi="Times New Roman;serif"/>
          <w:b w:val="false"/>
          <w:color w:val="000000"/>
          <w:sz w:val="24"/>
        </w:rPr>
        <w:t>By:</w:t>
      </w:r>
      <w:r>
        <w:rPr>
          <w:color w:val="000000"/>
          <w:u w:val="single"/>
        </w:rPr>
        <w:t>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Name:</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Title: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4"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D-1 and D-2</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FORMS OF</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OPINIONS OF COUNSEL FOR BORROWER AND EPD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5"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E</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OF COMPLIANCE CERTIFICATE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undersigned hereby certifies that he is the _______________________ of ENTERPRISE PRODUCTS OLPGP, INC. a Delaware corporation, manager of ENTERPRISE PRODUCTS OPERATING LLC, a Texas limited liability company (the “Borrower”), and that as such he is authorized to execute this certificate on behalf of the Borrower. With reference to the Revolving Credit Agreement dated as of July 28, 2026 (as restated, amended, modified, supplemented and in effect from time to time, the “Agreement”), among the Borrower, Citibank, N.A., as Administrative Agent, for the lenders (the “Lenders”), which are or become a party thereto, and such Lenders, the undersigned represents and warrants as follows (each capitalized term used herein having the same meaning given to it in the Agreement unless otherwise specified);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    [There currently does not exist any Default under the Agreement.] [Attached hereto is a schedule specifying the details of [a] certain Default[s] which exist under the Agreement and the action taken or proposed to be taken with respect thereto.]</w:t>
      </w:r>
    </w:p>
    <w:p>
      <w:pPr>
        <w:pStyle w:val="TextBody"/>
        <w:bidi w:val="0"/>
        <w:spacing w:lineRule="auto" w:line="288" w:before="0" w:after="240"/>
        <w:jc w:val="both"/>
        <w:rPr/>
      </w:pPr>
      <w:r>
        <w:rPr>
          <w:rFonts w:ascii="Times New Roman;serif" w:hAnsi="Times New Roman;serif"/>
          <w:b w:val="false"/>
          <w:color w:val="000000"/>
          <w:sz w:val="24"/>
        </w:rPr>
        <w:t xml:space="preserve">(b)    Attached hereto are the detailed computations necessary to determine whether the Borrower is in compliance with </w:t>
      </w:r>
      <w:r>
        <w:rPr>
          <w:rFonts w:ascii="Times New Roman;serif" w:hAnsi="Times New Roman;serif"/>
          <w:b w:val="false"/>
          <w:color w:val="000000"/>
          <w:sz w:val="24"/>
          <w:u w:val="single"/>
        </w:rPr>
        <w:t>Section 6.07</w:t>
      </w:r>
      <w:r>
        <w:rPr>
          <w:color w:val="000000"/>
        </w:rPr>
        <w:t xml:space="preserve"> </w:t>
      </w:r>
      <w:r>
        <w:rPr>
          <w:rFonts w:ascii="Times New Roman;serif" w:hAnsi="Times New Roman;serif"/>
          <w:b w:val="false"/>
          <w:color w:val="000000"/>
          <w:sz w:val="24"/>
        </w:rPr>
        <w:t>of the Agreement as of the end of the [fiscal quarter][fiscal year] ending ________________.</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EXECUTED AND DELIVERED this ____ day of _________________, 20__.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ENTERPRISE PRODUCTS OPERATING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By:    Enterprise Products OLPGP, Inc.,</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its Manager</w:t>
      </w:r>
    </w:p>
    <w:p>
      <w:pPr>
        <w:pStyle w:val="TextBody"/>
        <w:bidi w:val="0"/>
        <w:spacing w:lineRule="auto" w:line="288" w:before="0" w:after="0"/>
        <w:jc w:val="both"/>
        <w:rPr/>
      </w:pPr>
      <w:r>
        <w:rPr>
          <w:rFonts w:ascii="Times New Roman;serif" w:hAnsi="Times New Roman;serif"/>
          <w:b w:val="false"/>
          <w:color w:val="000000"/>
          <w:sz w:val="24"/>
        </w:rPr>
        <w:t>By:</w:t>
      </w:r>
      <w:r>
        <w:rPr>
          <w:color w:val="000000"/>
          <w:u w:val="single"/>
        </w:rPr>
        <w:t>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Name:</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Title: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6"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F</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FORM OF</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NOTE</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(Revolving Credit Facility)</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$_____________    _______, 202__</w:t>
      </w:r>
    </w:p>
    <w:p>
      <w:pPr>
        <w:pStyle w:val="TextBody"/>
        <w:bidi w:val="0"/>
        <w:spacing w:lineRule="auto" w:line="288" w:before="0" w:after="240"/>
        <w:ind w:left="0" w:right="0" w:firstLine="720"/>
        <w:jc w:val="both"/>
        <w:rPr/>
      </w:pPr>
      <w:r>
        <w:rPr>
          <w:rFonts w:ascii="Times New Roman;serif" w:hAnsi="Times New Roman;serif"/>
          <w:b w:val="false"/>
          <w:color w:val="000000"/>
          <w:sz w:val="24"/>
        </w:rPr>
        <w:t>ENTERPRISE PRODUCTS OPERATING LLC, a Texas limited liability company (the “</w:t>
      </w:r>
      <w:r>
        <w:rPr>
          <w:rFonts w:ascii="Times New Roman;serif" w:hAnsi="Times New Roman;serif"/>
          <w:b w:val="false"/>
          <w:color w:val="000000"/>
          <w:sz w:val="24"/>
          <w:u w:val="single"/>
        </w:rPr>
        <w:t>Borrower</w:t>
      </w:r>
      <w:r>
        <w:rPr>
          <w:color w:val="000000"/>
        </w:rPr>
        <w:t>”</w:t>
      </w:r>
      <w:r>
        <w:rPr>
          <w:rFonts w:ascii="Times New Roman;serif" w:hAnsi="Times New Roman;serif"/>
          <w:b w:val="false"/>
          <w:color w:val="000000"/>
          <w:sz w:val="24"/>
        </w:rPr>
        <w:t>), for value received, promises and agrees to pay to ______________________________ (the “</w:t>
      </w:r>
      <w:r>
        <w:rPr>
          <w:rFonts w:ascii="Times New Roman;serif" w:hAnsi="Times New Roman;serif"/>
          <w:b w:val="false"/>
          <w:color w:val="000000"/>
          <w:sz w:val="24"/>
          <w:u w:val="single"/>
        </w:rPr>
        <w:t>Lender</w:t>
      </w:r>
      <w:r>
        <w:rPr>
          <w:color w:val="000000"/>
        </w:rPr>
        <w:t>”</w:t>
      </w:r>
      <w:r>
        <w:rPr>
          <w:rFonts w:ascii="Times New Roman;serif" w:hAnsi="Times New Roman;serif"/>
          <w:b w:val="false"/>
          <w:color w:val="000000"/>
          <w:sz w:val="24"/>
        </w:rPr>
        <w:t>), or order, at the payment office of CITIBANK, N.A., as Administrative Agent, at __________, the principal sum of ______________________________ AND NO/100 DOLLARS ($_____________), or such lesser amount as shall equal the aggregate unpaid principal amount of the Loans owed to the Lender under the Credit Agreement, as hereafter defined, in lawful money of the United States of America and in immediately available funds, on the dates and in the principal amounts provided in the Credit Agreement, and to pay interest on the unpaid principal amount as provided in the Credit Agreement for such Loans, at such office, in like money and funds, for the period commencing on the date of each such Loan until such Loan shall be paid in full, at the rates per annum and on the dates provided in the Credit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note evidences the Loans owed to the Lender under that certain Revolving Credit Agreement dated as of July 28, 2026, by and among the Borrower, Citibank, N.A., individually, as Administrative Agent, and the other financial institutions parties thereto (including the Lender) (such Credit Agreement, together with all amendments or supplements thereto, being the “</w:t>
      </w:r>
      <w:r>
        <w:rPr>
          <w:rFonts w:ascii="Times New Roman;serif" w:hAnsi="Times New Roman;serif"/>
          <w:b w:val="false"/>
          <w:color w:val="000000"/>
          <w:sz w:val="24"/>
          <w:u w:val="single"/>
        </w:rPr>
        <w:t>Credit Agreement</w:t>
      </w:r>
      <w:r>
        <w:rPr>
          <w:color w:val="000000"/>
        </w:rPr>
        <w:t>”</w:t>
      </w:r>
      <w:r>
        <w:rPr>
          <w:rFonts w:ascii="Times New Roman;serif" w:hAnsi="Times New Roman;serif"/>
          <w:b w:val="false"/>
          <w:color w:val="000000"/>
          <w:sz w:val="24"/>
        </w:rPr>
        <w:t>), and shall be governed by the Credit Agreement. Capitalized terms used in this note and not defined in this note, but which are defined in the Credit Agreement, have the respective meanings herein as are assigned to them in the Credit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Lender is hereby authorized by the Borrower to endorse on Schedule A (or a continuation thereof) attached to this note, the Type of each Loan owed to the Lender, the amount and date of each payment or prepayment of principal of each such Loan received by the Lender and the Interest Periods and interest rates applicable to each Loan, provided that any failure by the Lender to make any such endorsement shall not affect the obligations of the Borrower under the Credit Agreement or under this note in respect of such Loans.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note may be held by the Lender for the account of its applicable lending office and, except as otherwise provided in the Credit Agreement, may be transferred from one lending office of the Lender to another lending office of the Lender from time to time as the Lender may determine.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Except only for any notices which are specifically required by the Credit Agreement, the Borrower/ and any and all co-makers, endorsers, guarantors and sureties severally waive notice (including but not limited to notice of intent to accelerate and notice of acceleration, notice of protest and notice of dishonor), demand, presentment for payment, protest, diligence in collecting and the filing of suit for the purpose of fixing liability, and consent that the time of payment hereof may be extended and re-extended from time to time without notice to any of them. Each such person agrees that its liability on or with respect to this note shall not be </w:t>
      </w:r>
    </w:p>
    <w:p>
      <w:pPr>
        <w:pStyle w:val="TextBody"/>
        <w:bidi w:val="0"/>
        <w:spacing w:before="0" w:after="0"/>
        <w:jc w:val="both"/>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7"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affected by any release of or change in any guaranty or security at any time existing or by any failure to perfect or maintain perfection of any lien against or security interest in any such security or the partial or complete unenforceability of any guaranty or other surety obligation, in each case in whole or in part, with or without notice and before or after maturity.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Credit Agreement provides for the acceleration of the maturity of this note upon the occurrence of certain events and for prepayment of Loans upon the terms and conditions specified therein. Reference is made to the Credit Agreement for all other pertinent purposes.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note is issued pursuant to and is entitled to the benefits of the Credit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It is hereby understood and agreed that Enterprise Products OLPGP, Inc., the Manager of the Borrower, shall have no personal liability, as Manager or otherwise, for the payment of any amount owing or to be owing hereunder.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note shall be construed in accordance with and be governed by the law of the State of New York and the United States of America from time to time in effect.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ENTERPRISE PRODUCTS OPERATING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By:    Enterprise Products OLPGP, Inc.,</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its Manager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By:</w:t>
      </w:r>
      <w:r>
        <w:rPr>
          <w:color w:val="000000"/>
          <w:u w:val="single"/>
        </w:rPr>
        <w:t>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Name:</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Title:</w:t>
      </w:r>
    </w:p>
    <w:p>
      <w:pPr>
        <w:pStyle w:val="TextBody"/>
        <w:bidi w:val="0"/>
        <w:jc w:val="center"/>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8"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SCHEDULE A</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TO</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NOTE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This note evidences the Loans owed to the Lender under the Credit Agreement, in the principal amount set forth below and the applicable Interest Periods and rates for each such Loan, subject to the payments of principal set forth below:</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SCHEDULE</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OF</w: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LOANS AND PAYMENTS OF PRINCIPAL AND INTEREST</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Amount of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Principal    Principal        Balance    Notation</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Interest        Amount of    Paid or    Interest    of    Made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Date    Period    Rate    Loan    Prepaid    Paid    Loans    by</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____    ______    _____    __________    ________    _________    ________    _______</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____    ______    _____    __________    ________    _________    ________    _______</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____    ______    _____    __________    ________    _________    ________    _______</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____    ______    _____    __________    ________    _________    ________    _______</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____    ______    _____    __________    ________    _________    ________    _______</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____    ______    _____    __________    ________    _________    ________    _______</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____    ______    _____    __________    ________    _________    ________    _______</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____    ______    _____    __________    ________    _________    ________    _______</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____    ______    _____    __________    ________    _________    ________    _______</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____    ______    _____    __________    ________    _________    ________    _______</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____    ______    _____    __________    ________    _________    ________    _______</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____    ______    _____    __________    ________    _________    ________    _______</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____    ______    _____    __________    ________    _________    ________    _______</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____    ______    _____    __________    ________    _________    ________    _______</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____    ______    _____    __________    ________    _________    ________    _______</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____    ______    _____    __________    ________    _________    ________    _______</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____    ______    _____    __________    ________    _________    ________    _______</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____    ______    _____    __________    ________    _________    ________    _______</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____    ______    _____    __________    ________    _________    ________    _______</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____    ______    _____    __________    ________    _________    ________    _______</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____    ______    _____    __________    ________    _________    ________    _______</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____    ______    _____    __________    ________    _________    ________    _______</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19"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G-1</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br/>
        <w:t>FORM OF U.S. TAX COMPLIANCE CERTIFICATE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(FOREIGN LENDERS; NOT PARTNERSHIPS)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(For Foreign Lenders That Are Not Partnerships For U.S. Federal Income Tax Purposes)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Reference is hereby made to the Revolving Credit Agreement dated as of July 28, 2026 (as amended, supplemented, restated, or otherwise modified from time to time, the “</w:t>
      </w:r>
      <w:r>
        <w:rPr>
          <w:rFonts w:ascii="Times New Roman;serif" w:hAnsi="Times New Roman;serif"/>
          <w:b w:val="false"/>
          <w:color w:val="000000"/>
          <w:sz w:val="24"/>
          <w:u w:val="single"/>
        </w:rPr>
        <w:t>Credit Agreement</w:t>
      </w:r>
      <w:r>
        <w:rPr>
          <w:color w:val="000000"/>
        </w:rPr>
        <w:t>”</w:t>
      </w:r>
      <w:r>
        <w:rPr>
          <w:rFonts w:ascii="Times New Roman;serif" w:hAnsi="Times New Roman;serif"/>
          <w:b w:val="false"/>
          <w:color w:val="000000"/>
          <w:sz w:val="24"/>
        </w:rPr>
        <w:t>), among Enterprise Products Operating LLC, a Texas limited liability company (the “</w:t>
      </w:r>
      <w:r>
        <w:rPr>
          <w:rFonts w:ascii="Times New Roman;serif" w:hAnsi="Times New Roman;serif"/>
          <w:b w:val="false"/>
          <w:color w:val="000000"/>
          <w:sz w:val="24"/>
          <w:u w:val="single"/>
        </w:rPr>
        <w:t>Borrower</w:t>
      </w:r>
      <w:r>
        <w:rPr>
          <w:color w:val="000000"/>
        </w:rPr>
        <w:t>”</w:t>
      </w:r>
      <w:r>
        <w:rPr>
          <w:rFonts w:ascii="Times New Roman;serif" w:hAnsi="Times New Roman;serif"/>
          <w:b w:val="false"/>
          <w:color w:val="000000"/>
          <w:sz w:val="24"/>
        </w:rPr>
        <w:t>), Citibank, N.A., as Administrative Agent, and the financial institutions from time to time parties thereto as Lenders.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 xml:space="preserve">Pursuant to the provisions of </w:t>
      </w:r>
      <w:r>
        <w:rPr>
          <w:rFonts w:ascii="Times New Roman;serif" w:hAnsi="Times New Roman;serif"/>
          <w:b w:val="false"/>
          <w:color w:val="000000"/>
          <w:sz w:val="24"/>
          <w:u w:val="single"/>
        </w:rPr>
        <w:t>Section 2.17(e)</w:t>
      </w:r>
      <w:r>
        <w:rPr>
          <w:color w:val="000000"/>
        </w:rPr>
        <w:t xml:space="preserve"> </w:t>
      </w:r>
      <w:r>
        <w:rPr>
          <w:rFonts w:ascii="Times New Roman;serif" w:hAnsi="Times New Roman;serif"/>
          <w:b w:val="false"/>
          <w:color w:val="000000"/>
          <w:sz w:val="24"/>
        </w:rPr>
        <w:t>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the Borrower within the meaning of Section 881(c)(3)(B) of the Code and (iv) it is not a controlled foreign corporation related to the Borrower as described in Section 881(c)(3)(C) of the Code.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undersigned has furnished the Administrative Agent and the Borrower with a certificate of its non-U.S. Person status on IRS Form W-8BEN (or W-8BEN E, as applicable).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Unless otherwise defined herein, terms defined in the Credit Agreement and used herein shall have the meanings given to them in the Credit Agreement.</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OF LENDER]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Date: ________ __, 20[__]</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0"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24"/>
                              </w:rPr>
                              <w:t>Exhibit G-1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24"/>
                        </w:rPr>
                        <w:t>Exhibit G-1</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G-2</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br/>
        <w:t>FORM OF U.S. TAX COMPLIANCE CERTIFICATE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(FOREIGN PARTICIPANTS; NOT PARTNERSHIPS)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(For Foreign Participants That Are Not Partnerships For U.S. Federal Income Tax Purposes)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Reference is hereby made to the Revolving Credit Agreement dated as of July 28, 2026 (as amended, supplemented, restated, or otherwise modified from time to time, the “</w:t>
      </w:r>
      <w:r>
        <w:rPr>
          <w:rFonts w:ascii="Times New Roman;serif" w:hAnsi="Times New Roman;serif"/>
          <w:b w:val="false"/>
          <w:color w:val="000000"/>
          <w:sz w:val="24"/>
          <w:u w:val="single"/>
        </w:rPr>
        <w:t>Credit Agreement</w:t>
      </w:r>
      <w:r>
        <w:rPr>
          <w:color w:val="000000"/>
        </w:rPr>
        <w:t>”</w:t>
      </w:r>
      <w:r>
        <w:rPr>
          <w:rFonts w:ascii="Times New Roman;serif" w:hAnsi="Times New Roman;serif"/>
          <w:b w:val="false"/>
          <w:color w:val="000000"/>
          <w:sz w:val="24"/>
        </w:rPr>
        <w:t>), among Enterprise Products Operating LLC, a Texas limited liability company (the “</w:t>
      </w:r>
      <w:r>
        <w:rPr>
          <w:rFonts w:ascii="Times New Roman;serif" w:hAnsi="Times New Roman;serif"/>
          <w:b w:val="false"/>
          <w:color w:val="000000"/>
          <w:sz w:val="24"/>
          <w:u w:val="single"/>
        </w:rPr>
        <w:t>Borrower</w:t>
      </w:r>
      <w:r>
        <w:rPr>
          <w:color w:val="000000"/>
        </w:rPr>
        <w:t>”</w:t>
      </w:r>
      <w:r>
        <w:rPr>
          <w:rFonts w:ascii="Times New Roman;serif" w:hAnsi="Times New Roman;serif"/>
          <w:b w:val="false"/>
          <w:color w:val="000000"/>
          <w:sz w:val="24"/>
        </w:rPr>
        <w:t>), Citibank, N.A., as Administrative Agent, and the financial institutions from time to time parties thereto as Lenders.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 xml:space="preserve">Pursuant to the provisions of </w:t>
      </w:r>
      <w:r>
        <w:rPr>
          <w:rFonts w:ascii="Times New Roman;serif" w:hAnsi="Times New Roman;serif"/>
          <w:b w:val="false"/>
          <w:color w:val="000000"/>
          <w:sz w:val="24"/>
          <w:u w:val="single"/>
        </w:rPr>
        <w:t>Section 2.17(e)</w:t>
      </w:r>
      <w:r>
        <w:rPr>
          <w:color w:val="000000"/>
        </w:rPr>
        <w:t xml:space="preserve"> </w:t>
      </w:r>
      <w:r>
        <w:rPr>
          <w:rFonts w:ascii="Times New Roman;serif" w:hAnsi="Times New Roman;serif"/>
          <w:b w:val="false"/>
          <w:color w:val="000000"/>
          <w:sz w:val="24"/>
        </w:rPr>
        <w:t>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the Borrower within the meaning of Section 881(c)(3)(B) of the Code, and (iv) it is not a controlled foreign corporation related to the Borrower as described in Section 881(c)(3)(C) of the Code.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undersigned has furnished its participating Lender with a certificate of its non-U.S. Person status on IRS Form W-8BEN (or W 8BEN E, as applicable).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Unless otherwise defined herein, terms defined in the Credit Agreement and used herein shall have the meanings given to them in the Credit Agreement.</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OF PARTICIPANT]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Date: ________ __, 20[__]</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1"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24"/>
                              </w:rPr>
                              <w:t>Exhibit G-2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24"/>
                        </w:rPr>
                        <w:t>Exhibit G-2</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G-3</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br/>
        <w:t>FORM OF U.S. TAX COMPLIANCE CERTIFICATE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(FOREIGN PARTICIPANTS; PARTNERSHIPS)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(For Foreign Participants That Are Partnerships For U.S. Federal Income Tax Purposes)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Reference is hereby made to the Revolving Credit Agreement dated as of July 28, 2026 (as amended, supplemented, restated, or otherwise modified from time to time, the “</w:t>
      </w:r>
      <w:r>
        <w:rPr>
          <w:rFonts w:ascii="Times New Roman;serif" w:hAnsi="Times New Roman;serif"/>
          <w:b w:val="false"/>
          <w:color w:val="000000"/>
          <w:sz w:val="24"/>
          <w:u w:val="single"/>
        </w:rPr>
        <w:t>Credit Agreement</w:t>
      </w:r>
      <w:r>
        <w:rPr>
          <w:color w:val="000000"/>
        </w:rPr>
        <w:t>”</w:t>
      </w:r>
      <w:r>
        <w:rPr>
          <w:rFonts w:ascii="Times New Roman;serif" w:hAnsi="Times New Roman;serif"/>
          <w:b w:val="false"/>
          <w:color w:val="000000"/>
          <w:sz w:val="24"/>
        </w:rPr>
        <w:t>), among Enterprise Products Operating LLC, a Texas limited liability company (the “</w:t>
      </w:r>
      <w:r>
        <w:rPr>
          <w:rFonts w:ascii="Times New Roman;serif" w:hAnsi="Times New Roman;serif"/>
          <w:b w:val="false"/>
          <w:color w:val="000000"/>
          <w:sz w:val="24"/>
          <w:u w:val="single"/>
        </w:rPr>
        <w:t>Borrower</w:t>
      </w:r>
      <w:r>
        <w:rPr>
          <w:color w:val="000000"/>
        </w:rPr>
        <w:t>”</w:t>
      </w:r>
      <w:r>
        <w:rPr>
          <w:rFonts w:ascii="Times New Roman;serif" w:hAnsi="Times New Roman;serif"/>
          <w:b w:val="false"/>
          <w:color w:val="000000"/>
          <w:sz w:val="24"/>
        </w:rPr>
        <w:t>), Citibank, N.A., as Administrative Agent, and the financial institutions from time to time parties thereto as Lenders.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 xml:space="preserve">Pursuant to the provisions of </w:t>
      </w:r>
      <w:r>
        <w:rPr>
          <w:rFonts w:ascii="Times New Roman;serif" w:hAnsi="Times New Roman;serif"/>
          <w:b w:val="false"/>
          <w:color w:val="000000"/>
          <w:sz w:val="24"/>
          <w:u w:val="single"/>
        </w:rPr>
        <w:t>Section 2.17(e)</w:t>
      </w:r>
      <w:r>
        <w:rPr>
          <w:color w:val="000000"/>
        </w:rPr>
        <w:t xml:space="preserve"> </w:t>
      </w:r>
      <w:r>
        <w:rPr>
          <w:rFonts w:ascii="Times New Roman;serif" w:hAnsi="Times New Roman;serif"/>
          <w:b w:val="false"/>
          <w:color w:val="000000"/>
          <w:sz w:val="24"/>
        </w:rPr>
        <w:t>of the Credit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881(c)(3)(B) of the Code and (v) none of its direct or indirect partners/members is a controlled foreign corporation related to the Borrower as described in Section 881(c)(3)(C) of the Code.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undersigned has furnished its participating Lender with IRS Form W-8IMY accompanied by one of the following forms from each of its partners/members that is claiming the portfolio interest exemption: (i) an IRS Form W-8BEN (or W 8BEN E, as applicable) or (ii) an IRS Form W-8IMY accompanied by an IRS Form W-8BEN (or W 8BEN E, as applicable)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Unless otherwise defined herein, terms defined in the Credit Agreement and used herein shall have the meanings given to them in the Credit Agreement.</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OF PARTICIPANT]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Date: ________ __, 20[__]</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2"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24"/>
                              </w:rPr>
                              <w:t>Exhibit G-3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24"/>
                        </w:rPr>
                        <w:t>Exhibit G-3</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G-4</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br/>
        <w:t>FORM OF U.S. TAX COMPLIANCE CERTIFICATE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(FOREIGN LENDERS; PARTNERSHIPS)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(For Foreign Lenders That Are Partnerships For U.S. Federal Income Tax Purposes)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Reference is hereby made to the Revolving Credit Agreement dated as of July 28, 2026 (as amended, supplemented, restated, or otherwise modified from time to time, the “</w:t>
      </w:r>
      <w:r>
        <w:rPr>
          <w:rFonts w:ascii="Times New Roman;serif" w:hAnsi="Times New Roman;serif"/>
          <w:b w:val="false"/>
          <w:color w:val="000000"/>
          <w:sz w:val="24"/>
          <w:u w:val="single"/>
        </w:rPr>
        <w:t>Credit Agreement</w:t>
      </w:r>
      <w:r>
        <w:rPr>
          <w:color w:val="000000"/>
        </w:rPr>
        <w:t>”</w:t>
      </w:r>
      <w:r>
        <w:rPr>
          <w:rFonts w:ascii="Times New Roman;serif" w:hAnsi="Times New Roman;serif"/>
          <w:b w:val="false"/>
          <w:color w:val="000000"/>
          <w:sz w:val="24"/>
        </w:rPr>
        <w:t>), among Enterprise Products Operating LLC, a Texas limited liability company (the “</w:t>
      </w:r>
      <w:r>
        <w:rPr>
          <w:rFonts w:ascii="Times New Roman;serif" w:hAnsi="Times New Roman;serif"/>
          <w:b w:val="false"/>
          <w:color w:val="000000"/>
          <w:sz w:val="24"/>
          <w:u w:val="single"/>
        </w:rPr>
        <w:t>Borrower</w:t>
      </w:r>
      <w:r>
        <w:rPr>
          <w:color w:val="000000"/>
        </w:rPr>
        <w:t>”</w:t>
      </w:r>
      <w:r>
        <w:rPr>
          <w:rFonts w:ascii="Times New Roman;serif" w:hAnsi="Times New Roman;serif"/>
          <w:b w:val="false"/>
          <w:color w:val="000000"/>
          <w:sz w:val="24"/>
        </w:rPr>
        <w:t>), Citibank, N.A., as Administrative Agent, and the financial institutions from time to time parties thereto as Lenders.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 xml:space="preserve">Pursuant to the provisions of </w:t>
      </w:r>
      <w:r>
        <w:rPr>
          <w:rFonts w:ascii="Times New Roman;serif" w:hAnsi="Times New Roman;serif"/>
          <w:b w:val="false"/>
          <w:color w:val="000000"/>
          <w:sz w:val="24"/>
          <w:u w:val="single"/>
        </w:rPr>
        <w:t>Section 2.17(e)</w:t>
      </w:r>
      <w:r>
        <w:rPr>
          <w:color w:val="000000"/>
        </w:rPr>
        <w:t xml:space="preserve"> </w:t>
      </w:r>
      <w:r>
        <w:rPr>
          <w:rFonts w:ascii="Times New Roman;serif" w:hAnsi="Times New Roman;serif"/>
          <w:b w:val="false"/>
          <w:color w:val="000000"/>
          <w:sz w:val="24"/>
        </w:rPr>
        <w:t>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881(c)(3)(B) of the Code and (v) none of its direct or indirect partners/members is a controlled foreign corporation related to the Borrower as described in Section 881(c)(3)(C) of the Code.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undersigned has furnished the Administrative Agent and the Borrower with IRS Form W-8IMY accompanied by one of the following forms from each of its partners/members that is claiming the portfolio interest exemption: (i) an IRS Form W-8BEN (or W 8BEN E, as applicable) or (ii) an IRS Form W-8IMY accompanied by an IRS Form W-8BEN (or W 8BEN E, as applicable) from each of such partner’s/member’s beneficial owners that is claiming the portfolio interest exemption.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 Unless otherwise defined herein, terms defined in the Credit Agreement and used herein shall have the meanings given to them in the Credit Agreement.</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OF LENDER]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Date: ________ __, 20[__]</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4"/>
        </w:rPr>
      </w:pPr>
      <w:r>
        <w:rPr>
          <w:rFonts w:ascii="Times New Roman;serif" w:hAnsi="Times New Roman;serif"/>
          <w:b/>
          <w:i/>
          <w:color w:val="000000"/>
          <w:sz w:val="24"/>
        </w:rPr>
        <w:t>Exhibit 10.2</w:t>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3"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Exhibit G-4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15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Exhibit G-4</w:t>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GUARANTY AGREEMENT</w:t>
      </w:r>
    </w:p>
    <w:p>
      <w:pPr>
        <w:pStyle w:val="TextBody"/>
        <w:bidi w:val="0"/>
        <w:spacing w:before="0" w:after="0"/>
        <w:jc w:val="both"/>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THIS GUARANTY AGREEMENT, dated as of July 28, 2026, by ENTERPRISE PRODUCTS PARTNERS L.P., a Delaware limited partnership (the “</w:t>
      </w:r>
      <w:r>
        <w:rPr>
          <w:rFonts w:ascii="Times New Roman;serif" w:hAnsi="Times New Roman;serif"/>
          <w:b w:val="false"/>
          <w:color w:val="000000"/>
          <w:sz w:val="24"/>
          <w:u w:val="single"/>
        </w:rPr>
        <w:t>Guarantor</w:t>
      </w:r>
      <w:r>
        <w:rPr>
          <w:color w:val="000000"/>
        </w:rPr>
        <w:t>”</w:t>
      </w:r>
      <w:r>
        <w:rPr>
          <w:rFonts w:ascii="Times New Roman;serif" w:hAnsi="Times New Roman;serif"/>
          <w:b w:val="false"/>
          <w:color w:val="000000"/>
          <w:sz w:val="24"/>
        </w:rPr>
        <w:t>), is in favor of CITIBANK, N.A., as Administrative Agent (the “</w:t>
      </w:r>
      <w:r>
        <w:rPr>
          <w:rFonts w:ascii="Times New Roman;serif" w:hAnsi="Times New Roman;serif"/>
          <w:b w:val="false"/>
          <w:color w:val="000000"/>
          <w:sz w:val="24"/>
          <w:u w:val="single"/>
        </w:rPr>
        <w:t>Agent</w:t>
      </w:r>
      <w:r>
        <w:rPr>
          <w:color w:val="000000"/>
        </w:rPr>
        <w:t>”</w:t>
      </w:r>
      <w:r>
        <w:rPr>
          <w:rFonts w:ascii="Times New Roman;serif" w:hAnsi="Times New Roman;serif"/>
          <w:b w:val="false"/>
          <w:color w:val="000000"/>
          <w:sz w:val="24"/>
        </w:rPr>
        <w:t>) for the several lenders ( “</w:t>
      </w:r>
      <w:r>
        <w:rPr>
          <w:rFonts w:ascii="Times New Roman;serif" w:hAnsi="Times New Roman;serif"/>
          <w:b w:val="false"/>
          <w:color w:val="000000"/>
          <w:sz w:val="24"/>
          <w:u w:val="single"/>
        </w:rPr>
        <w:t>Lenders</w:t>
      </w:r>
      <w:r>
        <w:rPr>
          <w:color w:val="000000"/>
        </w:rPr>
        <w:t>”</w:t>
      </w:r>
      <w:r>
        <w:rPr>
          <w:rFonts w:ascii="Times New Roman;serif" w:hAnsi="Times New Roman;serif"/>
          <w:b w:val="false"/>
          <w:color w:val="000000"/>
          <w:sz w:val="24"/>
        </w:rPr>
        <w:t>) that are or become parties to the Credit Agreement defined below.</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u w:val="single"/>
        </w:rPr>
        <w:t>W</w:t>
      </w:r>
      <w:r>
        <w:rPr>
          <w:color w:val="000000"/>
        </w:rPr>
        <w:t xml:space="preserve"> </w:t>
      </w:r>
      <w:r>
        <w:rPr>
          <w:rFonts w:ascii="Times New Roman;serif" w:hAnsi="Times New Roman;serif"/>
          <w:b w:val="false"/>
          <w:color w:val="000000"/>
          <w:sz w:val="24"/>
          <w:u w:val="single"/>
        </w:rPr>
        <w:t>I</w:t>
      </w:r>
      <w:r>
        <w:rPr>
          <w:color w:val="000000"/>
        </w:rPr>
        <w:t xml:space="preserve"> </w:t>
      </w:r>
      <w:r>
        <w:rPr>
          <w:rFonts w:ascii="Times New Roman;serif" w:hAnsi="Times New Roman;serif"/>
          <w:b w:val="false"/>
          <w:color w:val="000000"/>
          <w:sz w:val="24"/>
          <w:u w:val="single"/>
        </w:rPr>
        <w:t>T</w:t>
      </w:r>
      <w:r>
        <w:rPr>
          <w:color w:val="000000"/>
        </w:rPr>
        <w:t xml:space="preserve"> </w:t>
      </w:r>
      <w:r>
        <w:rPr>
          <w:rFonts w:ascii="Times New Roman;serif" w:hAnsi="Times New Roman;serif"/>
          <w:b w:val="false"/>
          <w:color w:val="000000"/>
          <w:sz w:val="24"/>
          <w:u w:val="single"/>
        </w:rPr>
        <w:t>N</w:t>
      </w:r>
      <w:r>
        <w:rPr>
          <w:color w:val="000000"/>
        </w:rPr>
        <w:t xml:space="preserve"> </w:t>
      </w:r>
      <w:r>
        <w:rPr>
          <w:rFonts w:ascii="Times New Roman;serif" w:hAnsi="Times New Roman;serif"/>
          <w:b w:val="false"/>
          <w:color w:val="000000"/>
          <w:sz w:val="24"/>
          <w:u w:val="single"/>
        </w:rPr>
        <w:t>E</w:t>
      </w:r>
      <w:r>
        <w:rPr>
          <w:color w:val="000000"/>
        </w:rPr>
        <w:t xml:space="preserve"> </w:t>
      </w:r>
      <w:r>
        <w:rPr>
          <w:rFonts w:ascii="Times New Roman;serif" w:hAnsi="Times New Roman;serif"/>
          <w:b w:val="false"/>
          <w:color w:val="000000"/>
          <w:sz w:val="24"/>
          <w:u w:val="single"/>
        </w:rPr>
        <w:t>S</w:t>
      </w:r>
      <w:r>
        <w:rPr>
          <w:color w:val="000000"/>
        </w:rPr>
        <w:t xml:space="preserve"> </w:t>
      </w:r>
      <w:r>
        <w:rPr>
          <w:rFonts w:ascii="Times New Roman;serif" w:hAnsi="Times New Roman;serif"/>
          <w:b w:val="false"/>
          <w:color w:val="000000"/>
          <w:sz w:val="24"/>
          <w:u w:val="single"/>
        </w:rPr>
        <w:t>S</w:t>
      </w:r>
      <w:r>
        <w:rPr>
          <w:color w:val="000000"/>
        </w:rPr>
        <w:t xml:space="preserve"> </w:t>
      </w:r>
      <w:r>
        <w:rPr>
          <w:rFonts w:ascii="Times New Roman;serif" w:hAnsi="Times New Roman;serif"/>
          <w:b w:val="false"/>
          <w:color w:val="000000"/>
          <w:sz w:val="24"/>
          <w:u w:val="single"/>
        </w:rPr>
        <w:t>E</w:t>
      </w:r>
      <w:r>
        <w:rPr>
          <w:color w:val="000000"/>
        </w:rPr>
        <w:t xml:space="preserve"> </w:t>
      </w:r>
      <w:r>
        <w:rPr>
          <w:rFonts w:ascii="Times New Roman;serif" w:hAnsi="Times New Roman;serif"/>
          <w:b w:val="false"/>
          <w:color w:val="000000"/>
          <w:sz w:val="24"/>
          <w:u w:val="single"/>
        </w:rPr>
        <w:t>T</w:t>
      </w:r>
      <w:r>
        <w:rPr>
          <w:color w:val="000000"/>
        </w:rPr>
        <w:t xml:space="preserve"> </w:t>
      </w:r>
      <w:r>
        <w:rPr>
          <w:rFonts w:ascii="Times New Roman;serif" w:hAnsi="Times New Roman;serif"/>
          <w:b w:val="false"/>
          <w:color w:val="000000"/>
          <w:sz w:val="24"/>
          <w:u w:val="single"/>
        </w:rPr>
        <w:t>H</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WHEREAS, Enterprise Products Operating LLC (“</w:t>
      </w:r>
      <w:r>
        <w:rPr>
          <w:rFonts w:ascii="Times New Roman;serif" w:hAnsi="Times New Roman;serif"/>
          <w:b w:val="false"/>
          <w:color w:val="000000"/>
          <w:sz w:val="24"/>
          <w:u w:val="single"/>
        </w:rPr>
        <w:t>Borrower</w:t>
      </w:r>
      <w:r>
        <w:rPr>
          <w:color w:val="000000"/>
        </w:rPr>
        <w:t>”</w:t>
      </w:r>
      <w:r>
        <w:rPr>
          <w:rFonts w:ascii="Times New Roman;serif" w:hAnsi="Times New Roman;serif"/>
          <w:b w:val="false"/>
          <w:color w:val="000000"/>
          <w:sz w:val="24"/>
        </w:rPr>
        <w:t>) has entered into that certain Revolving Credit Agreement of even date herewith among Borrower, Administrative Agent, and the Lenders party thereto (as the same may be amended, supplemented or otherwise modified from time to time, the “</w:t>
      </w:r>
      <w:r>
        <w:rPr>
          <w:rFonts w:ascii="Times New Roman;serif" w:hAnsi="Times New Roman;serif"/>
          <w:b w:val="false"/>
          <w:color w:val="000000"/>
          <w:sz w:val="24"/>
          <w:u w:val="single"/>
        </w:rPr>
        <w:t>Credit Agreement</w:t>
      </w:r>
      <w:r>
        <w:rPr>
          <w:color w:val="000000"/>
        </w:rPr>
        <w:t>”</w:t>
      </w:r>
      <w:r>
        <w:rPr>
          <w:rFonts w:ascii="Times New Roman;serif" w:hAnsi="Times New Roman;serif"/>
          <w:b w:val="false"/>
          <w:color w:val="000000"/>
          <w:sz w:val="24"/>
        </w:rPr>
        <w:t>); and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WHEREAS, one of the terms and conditions stated in the Credit Agreement for the making of the loans described therein is the execution and delivery to the Agent for the benefit of the Lenders of this Guaranty Agreement;</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NOW, THEREFORE, (i) in order to comply with the terms and conditions of the Credit Agreement, (ii) to induce the Lenders, at any time or from time to time, to loan monies, with or without security to or for the account of Borrower in accordance with the terms of the Credit Agreement, (iii) at the special insistence and request of the Lenders, and (iv) for other good and valuable consideration, the receipt and sufficiency of which is hereby acknowledged, Guarantor hereby agrees as follows: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u w:val="single"/>
        </w:rPr>
        <w:t>ARTICLE 1</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u w:val="single"/>
        </w:rPr>
        <w:t>General Terms</w:t>
      </w:r>
      <w:r>
        <w:rPr>
          <w:color w:val="000000"/>
        </w:rPr>
        <w:t>    </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Section 1.1    </w:t>
      </w:r>
      <w:r>
        <w:rPr>
          <w:rFonts w:ascii="Times New Roman;serif" w:hAnsi="Times New Roman;serif"/>
          <w:b w:val="false"/>
          <w:color w:val="000000"/>
          <w:sz w:val="24"/>
          <w:u w:val="single"/>
        </w:rPr>
        <w:t>Terms Defined Above</w:t>
      </w:r>
      <w:r>
        <w:rPr>
          <w:rFonts w:ascii="Times New Roman;serif" w:hAnsi="Times New Roman;serif"/>
          <w:b w:val="false"/>
          <w:color w:val="000000"/>
          <w:sz w:val="24"/>
        </w:rPr>
        <w:t>. As used in this Guaranty Agreement, the terms “</w:t>
      </w:r>
      <w:r>
        <w:rPr>
          <w:rFonts w:ascii="Times New Roman;serif" w:hAnsi="Times New Roman;serif"/>
          <w:b w:val="false"/>
          <w:color w:val="000000"/>
          <w:sz w:val="24"/>
          <w:u w:val="single"/>
        </w:rPr>
        <w:t>Agent</w:t>
      </w:r>
      <w:r>
        <w:rPr>
          <w:color w:val="000000"/>
        </w:rPr>
        <w:t>”</w:t>
      </w:r>
      <w:r>
        <w:rPr>
          <w:rFonts w:ascii="Times New Roman;serif" w:hAnsi="Times New Roman;serif"/>
          <w:b w:val="false"/>
          <w:color w:val="000000"/>
          <w:sz w:val="24"/>
        </w:rPr>
        <w:t>, “</w:t>
      </w:r>
      <w:r>
        <w:rPr>
          <w:rFonts w:ascii="Times New Roman;serif" w:hAnsi="Times New Roman;serif"/>
          <w:b w:val="false"/>
          <w:color w:val="000000"/>
          <w:sz w:val="24"/>
          <w:u w:val="single"/>
        </w:rPr>
        <w:t>Borrower</w:t>
      </w:r>
      <w:r>
        <w:rPr>
          <w:color w:val="000000"/>
        </w:rPr>
        <w:t>”</w:t>
      </w:r>
      <w:r>
        <w:rPr>
          <w:rFonts w:ascii="Times New Roman;serif" w:hAnsi="Times New Roman;serif"/>
          <w:b w:val="false"/>
          <w:color w:val="000000"/>
          <w:sz w:val="24"/>
        </w:rPr>
        <w:t>, “</w:t>
      </w:r>
      <w:r>
        <w:rPr>
          <w:rFonts w:ascii="Times New Roman;serif" w:hAnsi="Times New Roman;serif"/>
          <w:b w:val="false"/>
          <w:color w:val="000000"/>
          <w:sz w:val="24"/>
          <w:u w:val="single"/>
        </w:rPr>
        <w:t>Credit Agreement</w:t>
      </w:r>
      <w:r>
        <w:rPr>
          <w:color w:val="000000"/>
        </w:rPr>
        <w:t>”</w:t>
      </w:r>
      <w:r>
        <w:rPr>
          <w:rFonts w:ascii="Times New Roman;serif" w:hAnsi="Times New Roman;serif"/>
          <w:b w:val="false"/>
          <w:color w:val="000000"/>
          <w:sz w:val="24"/>
        </w:rPr>
        <w:t>, “</w:t>
      </w:r>
      <w:r>
        <w:rPr>
          <w:rFonts w:ascii="Times New Roman;serif" w:hAnsi="Times New Roman;serif"/>
          <w:b w:val="false"/>
          <w:color w:val="000000"/>
          <w:sz w:val="24"/>
          <w:u w:val="single"/>
        </w:rPr>
        <w:t>Guarantor</w:t>
      </w:r>
      <w:r>
        <w:rPr>
          <w:color w:val="000000"/>
        </w:rPr>
        <w:t xml:space="preserve">” </w:t>
      </w:r>
      <w:r>
        <w:rPr>
          <w:rFonts w:ascii="Times New Roman;serif" w:hAnsi="Times New Roman;serif"/>
          <w:b w:val="false"/>
          <w:color w:val="000000"/>
          <w:sz w:val="24"/>
        </w:rPr>
        <w:t>and “</w:t>
      </w:r>
      <w:r>
        <w:rPr>
          <w:rFonts w:ascii="Times New Roman;serif" w:hAnsi="Times New Roman;serif"/>
          <w:b w:val="false"/>
          <w:color w:val="000000"/>
          <w:sz w:val="24"/>
          <w:u w:val="single"/>
        </w:rPr>
        <w:t>Lenders</w:t>
      </w:r>
      <w:r>
        <w:rPr>
          <w:color w:val="000000"/>
        </w:rPr>
        <w:t xml:space="preserve">” </w:t>
      </w:r>
      <w:r>
        <w:rPr>
          <w:rFonts w:ascii="Times New Roman;serif" w:hAnsi="Times New Roman;serif"/>
          <w:b w:val="false"/>
          <w:color w:val="000000"/>
          <w:sz w:val="24"/>
        </w:rPr>
        <w:t>shall have the meanings indicated above.</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Section 1.2    </w:t>
      </w:r>
      <w:r>
        <w:rPr>
          <w:rFonts w:ascii="Times New Roman;serif" w:hAnsi="Times New Roman;serif"/>
          <w:b w:val="false"/>
          <w:color w:val="000000"/>
          <w:sz w:val="24"/>
          <w:u w:val="single"/>
        </w:rPr>
        <w:t>Certain Definitions</w:t>
      </w:r>
      <w:r>
        <w:rPr>
          <w:rFonts w:ascii="Times New Roman;serif" w:hAnsi="Times New Roman;serif"/>
          <w:b w:val="false"/>
          <w:color w:val="000000"/>
          <w:sz w:val="24"/>
        </w:rPr>
        <w:t>. As used in this Guaranty Agreement, the following terms shall have the following meanings, unless the context otherwise requires: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u w:val="single"/>
        </w:rPr>
        <w:t>Guarantor Claims</w:t>
      </w:r>
      <w:r>
        <w:rPr>
          <w:color w:val="000000"/>
        </w:rPr>
        <w:t xml:space="preserve">” </w:t>
      </w:r>
      <w:r>
        <w:rPr>
          <w:rFonts w:ascii="Times New Roman;serif" w:hAnsi="Times New Roman;serif"/>
          <w:b w:val="false"/>
          <w:color w:val="000000"/>
          <w:sz w:val="24"/>
        </w:rPr>
        <w:t>shall have the meaning indicated in Section 4.1 hereof.</w:t>
      </w:r>
    </w:p>
    <w:p>
      <w:pPr>
        <w:pStyle w:val="TextBody"/>
        <w:bidi w:val="0"/>
        <w:spacing w:before="0" w:after="0"/>
        <w:jc w:val="left"/>
        <w:rPr/>
      </w:pPr>
      <w:r>
        <w:rPr/>
      </w:r>
    </w:p>
    <w:p>
      <w:pPr>
        <w:pStyle w:val="TextBody"/>
        <w:bidi w:val="0"/>
        <w:spacing w:lineRule="auto" w:line="288" w:before="0" w:after="0"/>
        <w:jc w:val="left"/>
        <w:rPr/>
      </w:pPr>
      <w:r>
        <w:rPr>
          <w:color w:val="000000"/>
          <w:u w:val="single"/>
        </w:rPr>
        <w:t>“</w:t>
      </w:r>
      <w:r>
        <w:rPr>
          <w:rFonts w:ascii="Times New Roman;serif" w:hAnsi="Times New Roman;serif"/>
          <w:b w:val="false"/>
          <w:color w:val="000000"/>
          <w:sz w:val="24"/>
          <w:u w:val="single"/>
        </w:rPr>
        <w:t>Guaranty Agreement</w:t>
      </w:r>
      <w:r>
        <w:rPr>
          <w:color w:val="000000"/>
        </w:rPr>
        <w:t xml:space="preserve">” </w:t>
      </w:r>
      <w:r>
        <w:rPr>
          <w:rFonts w:ascii="Times New Roman;serif" w:hAnsi="Times New Roman;serif"/>
          <w:b w:val="false"/>
          <w:color w:val="000000"/>
          <w:sz w:val="24"/>
        </w:rPr>
        <w:t>shall mean this Guaranty Agreement, as the same may from time to time be amended, supplemented, or otherwise modified.</w:t>
      </w:r>
    </w:p>
    <w:p>
      <w:pPr>
        <w:pStyle w:val="TextBody"/>
        <w:bidi w:val="0"/>
        <w:spacing w:before="0" w:after="0"/>
        <w:jc w:val="left"/>
        <w:rPr/>
      </w:pPr>
      <w:r>
        <w:rPr/>
      </w:r>
    </w:p>
    <w:p>
      <w:pPr>
        <w:pStyle w:val="TextBody"/>
        <w:bidi w:val="0"/>
        <w:spacing w:lineRule="auto" w:line="288"/>
        <w:jc w:val="left"/>
        <w:rPr/>
      </w:pPr>
      <w:r>
        <w:rPr>
          <w:color w:val="000000"/>
        </w:rPr>
        <w:t>“</w:t>
      </w:r>
      <w:r>
        <w:rPr>
          <w:rFonts w:ascii="Times New Roman;serif" w:hAnsi="Times New Roman;serif"/>
          <w:b w:val="false"/>
          <w:color w:val="000000"/>
          <w:sz w:val="24"/>
          <w:u w:val="single"/>
        </w:rPr>
        <w:t>Liabilities</w:t>
      </w:r>
      <w:r>
        <w:rPr>
          <w:color w:val="000000"/>
        </w:rPr>
        <w:t xml:space="preserve">” </w:t>
      </w:r>
      <w:r>
        <w:rPr>
          <w:rFonts w:ascii="Times New Roman;serif" w:hAnsi="Times New Roman;serif"/>
          <w:b w:val="false"/>
          <w:color w:val="000000"/>
          <w:sz w:val="24"/>
        </w:rPr>
        <w:t xml:space="preserve">shall mean (a) any and all Indebtedness of the Borrower pursuant to the Credit Agreement, including without limitation (i) the unpaid principal of and interest on the Loans, including without limitation, interest accruing subsequent to the filing of a petition or other action concerning bankruptcy or other similar proceeding, and (ii) payment of any other amount owed by the Borrower under the Credit Agreement, including without limitation, fees and indemnity payments, </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4"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and (b) all renewals, rearrangements, increases, extensions for any period, amendments, supplements, exchanges or reissuances in whole or in part of the Indebtedness of Borrower under the Credit Agreement, or any other documents or instruments evidencing any of the above.</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Section 1.3    </w:t>
      </w:r>
      <w:r>
        <w:rPr>
          <w:rFonts w:ascii="Times New Roman;serif" w:hAnsi="Times New Roman;serif"/>
          <w:b w:val="false"/>
          <w:color w:val="000000"/>
          <w:sz w:val="24"/>
          <w:u w:val="single"/>
        </w:rPr>
        <w:t>Credit Agreement Definitions</w:t>
      </w:r>
      <w:r>
        <w:rPr>
          <w:rFonts w:ascii="Times New Roman;serif" w:hAnsi="Times New Roman;serif"/>
          <w:b w:val="false"/>
          <w:color w:val="000000"/>
          <w:sz w:val="24"/>
        </w:rPr>
        <w:t>. Unless otherwise defined herein, all terms beginning with a capital letter which are defined in the Credit Agreement shall have the same meanings herein as therein.</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u w:val="single"/>
        </w:rPr>
        <w:t>ARTICLE 2</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u w:val="single"/>
        </w:rPr>
        <w:t>The Guaranty</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Section 2.1    </w:t>
      </w:r>
      <w:r>
        <w:rPr>
          <w:rFonts w:ascii="Times New Roman;serif" w:hAnsi="Times New Roman;serif"/>
          <w:b w:val="false"/>
          <w:color w:val="000000"/>
          <w:sz w:val="24"/>
          <w:u w:val="single"/>
        </w:rPr>
        <w:t>Liabilities Guaranteed</w:t>
      </w:r>
      <w:r>
        <w:rPr>
          <w:rFonts w:ascii="Times New Roman;serif" w:hAnsi="Times New Roman;serif"/>
          <w:b w:val="false"/>
          <w:color w:val="000000"/>
          <w:sz w:val="24"/>
        </w:rPr>
        <w:t>. Guarantor hereby irrevocably and unconditionally guarantees in favor of the Agent for the benefit of the Lenders the prompt payment of the Liabilities when due, whether at maturity or otherwise.</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Section 2.2    </w:t>
      </w:r>
      <w:r>
        <w:rPr>
          <w:rFonts w:ascii="Times New Roman;serif" w:hAnsi="Times New Roman;serif"/>
          <w:b w:val="false"/>
          <w:color w:val="000000"/>
          <w:sz w:val="24"/>
          <w:u w:val="single"/>
        </w:rPr>
        <w:t>Nature of Guaranty</w:t>
      </w:r>
      <w:r>
        <w:rPr>
          <w:rFonts w:ascii="Times New Roman;serif" w:hAnsi="Times New Roman;serif"/>
          <w:b w:val="false"/>
          <w:color w:val="000000"/>
          <w:sz w:val="24"/>
        </w:rPr>
        <w:t>. This Guaranty Agreement is an absolute, irrevocable, completed and continuing guaranty of payment and not a guaranty of collection, and no notice of the Liabilities or any extension of credit already or hereafter contracted by or extended to Borrower need be given to Guarantor. This Guaranty Agreement may not be revoked by Guarantor and shall continue to be effective with respect to debt under the Liabilities arising or created after any attempted revocation by Guarantor and shall remain in full force and effect until the Liabilities are paid in full and the Commitments are terminated, notwithstanding that from time to time prior thereto no Liabilities may be outstanding. Borrower and the Lenders may modify, alter, rearrange, extend for any period and/or renew from time to time the Liabilities, and the Lenders may waive any Default or Events of Default without notice to the Guarantor and in such event Guarantor will remain fully bound hereunder on the Liabilities. This Guaranty Agreement shall continue to be effective or be reinstated, as the case may be, if at any time any payment of the Liabilities is rescinded or must otherwise be returned by any of the Lenders upon the insolvency, bankruptcy or reorganization of Borrower or otherwise, all as though such payment had not been made. This Guaranty Agreement may be enforced by the Agent and any subsequent holder of any of the Liabilities and shall not be discharged by the assignment or negotiation of all or part of the Liabilities. Guarantor hereby expressly waives presentment, demand, notice of non-payment, protest and notice of protest and dishonor, notice of Default or Event of Default, notice of intent to accelerate the maturity and notice of acceleration of the maturity and any other notice in connection with the Liabilities, and also notice of acceptance of this Guaranty Agreement, acceptance on the part of the Agent for the benefit of the Lenders being conclusively presumed by the Lenders' request for this Guaranty Agreement and delivery of the same to the Agent.</w:t>
      </w:r>
    </w:p>
    <w:p>
      <w:pPr>
        <w:pStyle w:val="TextBody"/>
        <w:bidi w:val="0"/>
        <w:spacing w:before="0" w:after="0"/>
        <w:jc w:val="left"/>
        <w:rPr/>
      </w:pPr>
      <w:r>
        <w:rPr/>
      </w:r>
    </w:p>
    <w:p>
      <w:pPr>
        <w:pStyle w:val="TextBody"/>
        <w:bidi w:val="0"/>
        <w:spacing w:lineRule="auto" w:line="288"/>
        <w:jc w:val="left"/>
        <w:rPr/>
      </w:pPr>
      <w:r>
        <w:rPr>
          <w:color w:val="000000"/>
        </w:rPr>
        <w:t>    </w:t>
      </w:r>
      <w:r>
        <w:rPr>
          <w:rFonts w:ascii="Times New Roman;serif" w:hAnsi="Times New Roman;serif"/>
          <w:b w:val="false"/>
          <w:color w:val="000000"/>
          <w:sz w:val="24"/>
        </w:rPr>
        <w:t>Section 2.3    </w:t>
      </w:r>
      <w:r>
        <w:rPr>
          <w:rFonts w:ascii="Times New Roman;serif" w:hAnsi="Times New Roman;serif"/>
          <w:b w:val="false"/>
          <w:color w:val="000000"/>
          <w:sz w:val="24"/>
          <w:u w:val="single"/>
        </w:rPr>
        <w:t>Agent's Rights</w:t>
      </w:r>
      <w:r>
        <w:rPr>
          <w:rFonts w:ascii="Times New Roman;serif" w:hAnsi="Times New Roman;serif"/>
          <w:b w:val="false"/>
          <w:color w:val="000000"/>
          <w:sz w:val="24"/>
        </w:rPr>
        <w:t>. Guarantor authorizes the Agent, without notice or demand and without affecting Guarantor's liability hereunder, to take and hold security for the payment of this Guaranty Agreement and/or the Liabilities, and exchange, enforce, waive and release any such security; and to apply such security and direct the order or manner of sale thereof as the Agent in its discretion may determine; and to obtain a guaranty of the Liabilities from any one or more Persons and at any time or times to enforce, waive, rearrange, modify, limit or release any of such other Persons from their obligations under such guaranties.</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5"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Section 2.4    </w:t>
      </w:r>
      <w:r>
        <w:rPr>
          <w:rFonts w:ascii="Times New Roman;serif" w:hAnsi="Times New Roman;serif"/>
          <w:b w:val="false"/>
          <w:color w:val="000000"/>
          <w:sz w:val="24"/>
          <w:u w:val="single"/>
        </w:rPr>
        <w:t>Guarantor's Waivers</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(a)    </w:t>
      </w:r>
      <w:r>
        <w:rPr>
          <w:rFonts w:ascii="Times New Roman;serif" w:hAnsi="Times New Roman;serif"/>
          <w:b w:val="false"/>
          <w:color w:val="000000"/>
          <w:sz w:val="24"/>
          <w:u w:val="single"/>
        </w:rPr>
        <w:t>General</w:t>
      </w:r>
      <w:r>
        <w:rPr>
          <w:rFonts w:ascii="Times New Roman;serif" w:hAnsi="Times New Roman;serif"/>
          <w:b w:val="false"/>
          <w:color w:val="000000"/>
          <w:sz w:val="24"/>
        </w:rPr>
        <w:t>. Guarantor waives any right to require any of the Lenders to (i) proceed against Borrower or any other person liable on the Liabilities, (ii) enforce any of their rights against any other guarantor of the Liabilities, (iii) proceed or enforce any of their rights against or exhaust any security given to secure the Liabilities, (iv) have Borrower joined with Guarantor in any suit arising out of this Guaranty Agreement and/or the Liabilities, or (v) pursue any other remedy in the Lenders' powers whatsoever. Except as provided in the Credit Agreement, the Lenders shall not be required to mitigate damages or take any action to reduce, collect or enforce the Liabilities, and the failure to so mitigate or take any such action shall not release the Guarantor from this Guaranty Agreement. Guarantor waives any defense arising by reason of any disability, lack of authority or power, or other defense (other than payment in full of the Liabilities) of Borrower or any other guarantor of the Liabilities, and shall remain liable hereon regardless of whether Borrower or any other guarantor be found not liable thereon for any reason. Whether and when to exercise any of the remedies of the Lenders under the Credit Agreement shall be in the sole and absolute discretion of the Agent, and no delay by the Agent in enforcing any remedy, including delay in conducting a foreclosure sale, shall be a defense to the Guarantor's liability under this Guaranty Agreement. To the extent allowed by applicable law, the Guarantor hereby waives any good faith duty on the part of the Agent in exercising any remedies provided in the Credit Agreement.</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(b)    </w:t>
      </w:r>
      <w:r>
        <w:rPr>
          <w:rFonts w:ascii="Times New Roman;serif" w:hAnsi="Times New Roman;serif"/>
          <w:b w:val="false"/>
          <w:color w:val="000000"/>
          <w:sz w:val="24"/>
          <w:u w:val="single"/>
        </w:rPr>
        <w:t>Subrogation</w:t>
      </w:r>
      <w:r>
        <w:rPr>
          <w:rFonts w:ascii="Times New Roman;serif" w:hAnsi="Times New Roman;serif"/>
          <w:b w:val="false"/>
          <w:color w:val="000000"/>
          <w:sz w:val="24"/>
        </w:rPr>
        <w:t>. Until the Liabilities have been paid in full, the Guarantor waives all rights of subrogation or reimbursement against the Borrower, whether arising by contract or operation of law (including, without limitation, any such right arising under any federal or state bankruptcy or insolvency laws) and waives any right to enforce any remedy which the Lenders now have or may hereafter have against the Borrower, and waives any benefit or any right to participate in any security now or hereafter held by the Agent or any Lender.</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Section 2.5    </w:t>
      </w:r>
      <w:r>
        <w:rPr>
          <w:rFonts w:ascii="Times New Roman;serif" w:hAnsi="Times New Roman;serif"/>
          <w:b w:val="false"/>
          <w:color w:val="000000"/>
          <w:sz w:val="24"/>
          <w:u w:val="single"/>
        </w:rPr>
        <w:t>Maturity of Liabilities; Payment</w:t>
      </w:r>
      <w:r>
        <w:rPr>
          <w:rFonts w:ascii="Times New Roman;serif" w:hAnsi="Times New Roman;serif"/>
          <w:b w:val="false"/>
          <w:color w:val="000000"/>
          <w:sz w:val="24"/>
        </w:rPr>
        <w:t>. Guarantor agrees that if the maturity of any of the Liabilities is accelerated by bankruptcy or otherwise, such maturity shall also be deemed accelerated for the purpose of this Guaranty Agreement without demand or notice to Guarantor. Guarantor will, forthwith upon notice from the Agent, pay to the Agent the amount due and unpaid by Borrower and guaranteed hereby. The failure of the Agent to give this notice shall not in any way release Guarantor hereunder.</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Section 2.6    </w:t>
      </w:r>
      <w:r>
        <w:rPr>
          <w:rFonts w:ascii="Times New Roman;serif" w:hAnsi="Times New Roman;serif"/>
          <w:b w:val="false"/>
          <w:color w:val="000000"/>
          <w:sz w:val="24"/>
          <w:u w:val="single"/>
        </w:rPr>
        <w:t>Agent's Expenses</w:t>
      </w:r>
      <w:r>
        <w:rPr>
          <w:rFonts w:ascii="Times New Roman;serif" w:hAnsi="Times New Roman;serif"/>
          <w:b w:val="false"/>
          <w:color w:val="000000"/>
          <w:sz w:val="24"/>
        </w:rPr>
        <w:t>. If Guarantor fails to pay the Liabilities after notice from the Agent of Borrower's failure to pay any Liabilities at maturity, and if the Agent obtains the services of an attorney for collection of amounts owing by Guarantor hereunder, or obtaining advice of counsel in respect of any of its rights under this Guaranty Agreement, or if suit is filed to enforce this Guaranty Agreement, or if proceedings are had in any bankruptcy, receivership or other judicial proceedings for the establishment or collection of any amount owing by Guarantor hereunder, or if any amount owing by Guarantor hereunder is collected through such proceedings, Guarantor agrees to pay to the Agent the Agent's reasonable attorneys' fees.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6"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0"/>
        <w:jc w:val="left"/>
        <w:rPr/>
      </w:pPr>
      <w:r>
        <w:rPr>
          <w:color w:val="000000"/>
        </w:rPr>
        <w:t>    </w:t>
      </w:r>
      <w:r>
        <w:rPr>
          <w:rFonts w:ascii="Times New Roman;serif" w:hAnsi="Times New Roman;serif"/>
          <w:b w:val="false"/>
          <w:color w:val="000000"/>
          <w:sz w:val="24"/>
        </w:rPr>
        <w:t>Section 2.7    </w:t>
      </w:r>
      <w:r>
        <w:rPr>
          <w:rFonts w:ascii="Times New Roman;serif" w:hAnsi="Times New Roman;serif"/>
          <w:b w:val="false"/>
          <w:color w:val="000000"/>
          <w:sz w:val="24"/>
          <w:u w:val="single"/>
        </w:rPr>
        <w:t>Liability</w:t>
      </w:r>
      <w:r>
        <w:rPr>
          <w:rFonts w:ascii="Times New Roman;serif" w:hAnsi="Times New Roman;serif"/>
          <w:b w:val="false"/>
          <w:color w:val="000000"/>
          <w:sz w:val="24"/>
        </w:rPr>
        <w:t>. It is expressly agreed that the liability of the Guarantor for the payment of the Liabilities guaranteed hereby shall be primary and not secondary.</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Section 2.8    </w:t>
      </w:r>
      <w:r>
        <w:rPr>
          <w:rFonts w:ascii="Times New Roman;serif" w:hAnsi="Times New Roman;serif"/>
          <w:b w:val="false"/>
          <w:color w:val="000000"/>
          <w:sz w:val="24"/>
          <w:u w:val="single"/>
        </w:rPr>
        <w:t>Events and Circumstances Not Reducing or Discharging Guarantor's Obligations</w:t>
      </w:r>
      <w:r>
        <w:rPr>
          <w:rFonts w:ascii="Times New Roman;serif" w:hAnsi="Times New Roman;serif"/>
          <w:b w:val="false"/>
          <w:color w:val="000000"/>
          <w:sz w:val="24"/>
        </w:rPr>
        <w:t>. Guarantor hereby consents and agrees to each of the following to the fullest extent permitted by law, and agrees that Guarantor's obligations under this Guaranty Agreement shall not be released, diminished, impaired, reduced or adversely affected by any of the following, and waives any rights (including without limitation rights to notice) which Guarantor might otherwise have as a result of or in connection with any of the following:</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(a)    </w:t>
      </w:r>
      <w:r>
        <w:rPr>
          <w:rFonts w:ascii="Times New Roman;serif" w:hAnsi="Times New Roman;serif"/>
          <w:b w:val="false"/>
          <w:color w:val="000000"/>
          <w:sz w:val="24"/>
          <w:u w:val="single"/>
        </w:rPr>
        <w:t>Modifications, etc</w:t>
      </w:r>
      <w:r>
        <w:rPr>
          <w:rFonts w:ascii="Times New Roman;serif" w:hAnsi="Times New Roman;serif"/>
          <w:b w:val="false"/>
          <w:color w:val="000000"/>
          <w:sz w:val="24"/>
        </w:rPr>
        <w:t>. Any renewal, extension, modification, increase, decrease, alteration, rearrangement, exchange or reissuance of all or any part of the Liabilities or the Credit Agreement or any instrument executed in connection therewith, or any contract or understanding between Borrower and any of the Lenders, or any other Person, pertaining to the Liabilities;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(b)    </w:t>
      </w:r>
      <w:r>
        <w:rPr>
          <w:rFonts w:ascii="Times New Roman;serif" w:hAnsi="Times New Roman;serif"/>
          <w:b w:val="false"/>
          <w:color w:val="000000"/>
          <w:sz w:val="24"/>
          <w:u w:val="single"/>
        </w:rPr>
        <w:t>Adjustment, etc.</w:t>
      </w:r>
      <w:r>
        <w:rPr>
          <w:color w:val="000000"/>
        </w:rPr>
        <w:t xml:space="preserve"> </w:t>
      </w:r>
      <w:r>
        <w:rPr>
          <w:rFonts w:ascii="Times New Roman;serif" w:hAnsi="Times New Roman;serif"/>
          <w:b w:val="false"/>
          <w:color w:val="000000"/>
          <w:sz w:val="24"/>
        </w:rPr>
        <w:t>Any adjustment, indulgence, forbearance or compromise that might be granted or given by any of the Lenders to Borrower or Guarantor or any Person liable on the Liabilities;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(c)    </w:t>
      </w:r>
      <w:r>
        <w:rPr>
          <w:rFonts w:ascii="Times New Roman;serif" w:hAnsi="Times New Roman;serif"/>
          <w:b w:val="false"/>
          <w:color w:val="000000"/>
          <w:sz w:val="24"/>
          <w:u w:val="single"/>
        </w:rPr>
        <w:t>Condition of Borrower or Guarantor</w:t>
      </w:r>
      <w:r>
        <w:rPr>
          <w:rFonts w:ascii="Times New Roman;serif" w:hAnsi="Times New Roman;serif"/>
          <w:b w:val="false"/>
          <w:color w:val="000000"/>
          <w:sz w:val="24"/>
        </w:rPr>
        <w:t>. The insolvency, bankruptcy arrangement, adjustment, composition, liquidation, disability, dissolution, death or lack of power of Borrower or Guarantor or any other Person at any time liable for the payment of all or part of the Liabilities; or any dissolution of Borrower or Guarantor, or any sale, lease or transfer of any or all of the assets of Borrower or Guarantor, or any changes in the shareholders, partners, or members of Borrower or Guarantor; or any reorganization of Borrower or Guarantor;</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(d)    </w:t>
      </w:r>
      <w:r>
        <w:rPr>
          <w:rFonts w:ascii="Times New Roman;serif" w:hAnsi="Times New Roman;serif"/>
          <w:b w:val="false"/>
          <w:color w:val="000000"/>
          <w:sz w:val="24"/>
          <w:u w:val="single"/>
        </w:rPr>
        <w:t>Invalidity of Liabilities</w:t>
      </w:r>
      <w:r>
        <w:rPr>
          <w:rFonts w:ascii="Times New Roman;serif" w:hAnsi="Times New Roman;serif"/>
          <w:b w:val="false"/>
          <w:color w:val="000000"/>
          <w:sz w:val="24"/>
        </w:rPr>
        <w:t xml:space="preserve">. The invalidity, illegality or unenforceability of all or any part of the Liabilities, or any document or agreement executed in connection with the Liabilities, for any reason whatsoever, including without limitation the fact that the Liabilities, or any part thereof, exceed the amount permitted by law, the act of creating the Liabilities or any part thereof is </w:t>
      </w:r>
      <w:r>
        <w:rPr>
          <w:rFonts w:ascii="Times New Roman;serif" w:hAnsi="Times New Roman;serif"/>
          <w:b w:val="false"/>
          <w:color w:val="000000"/>
          <w:sz w:val="24"/>
          <w:u w:val="single"/>
        </w:rPr>
        <w:t>ultra</w:t>
      </w:r>
      <w:r>
        <w:rPr>
          <w:color w:val="000000"/>
        </w:rPr>
        <w:t xml:space="preserve"> </w:t>
      </w:r>
      <w:r>
        <w:rPr>
          <w:rFonts w:ascii="Times New Roman;serif" w:hAnsi="Times New Roman;serif"/>
          <w:b w:val="false"/>
          <w:color w:val="000000"/>
          <w:sz w:val="24"/>
          <w:u w:val="single"/>
        </w:rPr>
        <w:t>vires</w:t>
      </w:r>
      <w:r>
        <w:rPr>
          <w:rFonts w:ascii="Times New Roman;serif" w:hAnsi="Times New Roman;serif"/>
          <w:b w:val="false"/>
          <w:color w:val="000000"/>
          <w:sz w:val="24"/>
        </w:rPr>
        <w:t>, the officers or representatives executing the documents or otherwise creating the Liabilities acted in excess of their authority, the Liabilities violate applicable usury laws, the Borrower has valid defenses (other than payment in full of the Liabilities), claims or offsets (whether at law, in equity or by agreement) which render the Liabilities wholly or partially uncollectible from Borrower, the creation, performance or repayment of the Liabilities (or the execution, delivery and performance of any document or instrument representing part of the Liabilities or executed in connection with the Liabilities, or given to secure the repayment of the Liabilities) is illegal, uncollectible, legally impossible or unenforceable, or the Credit Agreement or other documents or instruments pertaining to the Liabilities have been forged or otherwise are irregular or not genuine or authentic;</w:t>
      </w:r>
    </w:p>
    <w:p>
      <w:pPr>
        <w:pStyle w:val="TextBody"/>
        <w:bidi w:val="0"/>
        <w:spacing w:before="0" w:after="0"/>
        <w:jc w:val="left"/>
        <w:rPr/>
      </w:pPr>
      <w:r>
        <w:rPr/>
      </w:r>
    </w:p>
    <w:p>
      <w:pPr>
        <w:pStyle w:val="TextBody"/>
        <w:bidi w:val="0"/>
        <w:spacing w:lineRule="auto" w:line="288"/>
        <w:jc w:val="left"/>
        <w:rPr/>
      </w:pPr>
      <w:r>
        <w:rPr>
          <w:color w:val="000000"/>
        </w:rPr>
        <w:t>    </w:t>
      </w:r>
      <w:r>
        <w:rPr>
          <w:rFonts w:ascii="Times New Roman;serif" w:hAnsi="Times New Roman;serif"/>
          <w:b w:val="false"/>
          <w:color w:val="000000"/>
          <w:sz w:val="24"/>
        </w:rPr>
        <w:t>(e)    </w:t>
      </w:r>
      <w:r>
        <w:rPr>
          <w:rFonts w:ascii="Times New Roman;serif" w:hAnsi="Times New Roman;serif"/>
          <w:b w:val="false"/>
          <w:color w:val="000000"/>
          <w:sz w:val="24"/>
          <w:u w:val="single"/>
        </w:rPr>
        <w:t>Release of Obligors</w:t>
      </w:r>
      <w:r>
        <w:rPr>
          <w:rFonts w:ascii="Times New Roman;serif" w:hAnsi="Times New Roman;serif"/>
          <w:b w:val="false"/>
          <w:color w:val="000000"/>
          <w:sz w:val="24"/>
        </w:rPr>
        <w:t xml:space="preserve">. Any full or partial release of the liability of Borrower on the Liabilities or any part thereof, of any co-guarantors, or any other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7"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Person now or hereafter liable, whether directly or indirectly, jointly, severally, or jointly and severally, to pay, perform, guarantee or assure the payment of the Liabilities or any part thereof, it being recognized, acknowledged and agreed by Guarantor that Guarantor may be required to pay the Liabilities in full without assistance or support of any other Person, and Guarantor has not been induced to enter into this Guaranty Agreement on the basis of a contemplation, belief, understanding or agreement that other parties other than the Borrower will be liable to perform the Liabilities, or the Lenders will look to other parties to perform the Liabilities. </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(f)    </w:t>
      </w:r>
      <w:r>
        <w:rPr>
          <w:rFonts w:ascii="Times New Roman;serif" w:hAnsi="Times New Roman;serif"/>
          <w:b w:val="false"/>
          <w:color w:val="000000"/>
          <w:sz w:val="24"/>
          <w:u w:val="single"/>
        </w:rPr>
        <w:t>Other Security</w:t>
      </w:r>
      <w:r>
        <w:rPr>
          <w:rFonts w:ascii="Times New Roman;serif" w:hAnsi="Times New Roman;serif"/>
          <w:b w:val="false"/>
          <w:color w:val="000000"/>
          <w:sz w:val="24"/>
        </w:rPr>
        <w:t>. The taking or accepting of any other security, collateral or guaranty, or other assurance of payment, for all or any part of the Liabilities;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(g)    </w:t>
      </w:r>
      <w:r>
        <w:rPr>
          <w:rFonts w:ascii="Times New Roman;serif" w:hAnsi="Times New Roman;serif"/>
          <w:b w:val="false"/>
          <w:color w:val="000000"/>
          <w:sz w:val="24"/>
          <w:u w:val="single"/>
        </w:rPr>
        <w:t>Release of Collateral, etc.</w:t>
      </w:r>
      <w:r>
        <w:rPr>
          <w:color w:val="000000"/>
        </w:rPr>
        <w:t xml:space="preserve"> </w:t>
      </w:r>
      <w:r>
        <w:rPr>
          <w:rFonts w:ascii="Times New Roman;serif" w:hAnsi="Times New Roman;serif"/>
          <w:b w:val="false"/>
          <w:color w:val="000000"/>
          <w:sz w:val="24"/>
        </w:rPr>
        <w:t>Any release, surrender, exchange, subordination, deterioration, waste, loss or impairment (including without limitation negligent, willful, unreasonable or unjustifiable impairment) of any collateral, property or security, at any time existing in connection with, or assuring or securing payment of, all or any part of the Liabilities;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(h)    </w:t>
      </w:r>
      <w:r>
        <w:rPr>
          <w:rFonts w:ascii="Times New Roman;serif" w:hAnsi="Times New Roman;serif"/>
          <w:b w:val="false"/>
          <w:color w:val="000000"/>
          <w:sz w:val="24"/>
          <w:u w:val="single"/>
        </w:rPr>
        <w:t>Care and Diligence</w:t>
      </w:r>
      <w:r>
        <w:rPr>
          <w:rFonts w:ascii="Times New Roman;serif" w:hAnsi="Times New Roman;serif"/>
          <w:b w:val="false"/>
          <w:color w:val="000000"/>
          <w:sz w:val="24"/>
        </w:rPr>
        <w:t>. The failure of the Lenders or any other Person to exercise diligence or reasonable care in the preservation, protection, enforcement, sale or other handling or treatment of all or any part of such collateral, property or security;</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(i)    </w:t>
      </w:r>
      <w:r>
        <w:rPr>
          <w:rFonts w:ascii="Times New Roman;serif" w:hAnsi="Times New Roman;serif"/>
          <w:b w:val="false"/>
          <w:color w:val="000000"/>
          <w:sz w:val="24"/>
          <w:u w:val="single"/>
        </w:rPr>
        <w:t>Status of Liens</w:t>
      </w:r>
      <w:r>
        <w:rPr>
          <w:rFonts w:ascii="Times New Roman;serif" w:hAnsi="Times New Roman;serif"/>
          <w:b w:val="false"/>
          <w:color w:val="000000"/>
          <w:sz w:val="24"/>
        </w:rPr>
        <w:t>. The fact that any collateral, security, security interest or lien contemplated or intended to be given, created or granted as security for the repayment of the Liabilities shall not be properly perfected or created, or shall prove to be unenforceable or subordinate to any other security interest or lien, it being recognized and agreed by Guarantor that Guarantor is not entering into this Guaranty Agreement in reliance on, or in contemplation of the benefits of, the validity, enforceability, collectability or value of any collateral for the Liabilities;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(j)    </w:t>
      </w:r>
      <w:r>
        <w:rPr>
          <w:rFonts w:ascii="Times New Roman;serif" w:hAnsi="Times New Roman;serif"/>
          <w:b w:val="false"/>
          <w:color w:val="000000"/>
          <w:sz w:val="24"/>
          <w:u w:val="single"/>
        </w:rPr>
        <w:t>Payments Rescinded</w:t>
      </w:r>
      <w:r>
        <w:rPr>
          <w:rFonts w:ascii="Times New Roman;serif" w:hAnsi="Times New Roman;serif"/>
          <w:b w:val="false"/>
          <w:color w:val="000000"/>
          <w:sz w:val="24"/>
        </w:rPr>
        <w:t>. Any payment by Borrower to the Lenders is held to constitute a preference under the bankruptcy laws, or for any reason the Lenders are required to refund such payment or pay such amount to Borrower or someone else; or</w:t>
      </w:r>
    </w:p>
    <w:p>
      <w:pPr>
        <w:pStyle w:val="TextBody"/>
        <w:bidi w:val="0"/>
        <w:spacing w:before="0" w:after="0"/>
        <w:jc w:val="left"/>
        <w:rPr/>
      </w:pPr>
      <w:r>
        <w:rPr/>
      </w:r>
    </w:p>
    <w:p>
      <w:pPr>
        <w:pStyle w:val="TextBody"/>
        <w:bidi w:val="0"/>
        <w:spacing w:lineRule="auto" w:line="288"/>
        <w:jc w:val="left"/>
        <w:rPr/>
      </w:pPr>
      <w:r>
        <w:rPr>
          <w:color w:val="000000"/>
        </w:rPr>
        <w:t>    </w:t>
      </w:r>
      <w:r>
        <w:rPr>
          <w:rFonts w:ascii="Times New Roman;serif" w:hAnsi="Times New Roman;serif"/>
          <w:b w:val="false"/>
          <w:color w:val="000000"/>
          <w:sz w:val="24"/>
        </w:rPr>
        <w:t>(k)    </w:t>
      </w:r>
      <w:r>
        <w:rPr>
          <w:rFonts w:ascii="Times New Roman;serif" w:hAnsi="Times New Roman;serif"/>
          <w:b w:val="false"/>
          <w:color w:val="000000"/>
          <w:sz w:val="24"/>
          <w:u w:val="single"/>
        </w:rPr>
        <w:t>Other Actions Taken or Omitted</w:t>
      </w:r>
      <w:r>
        <w:rPr>
          <w:rFonts w:ascii="Times New Roman;serif" w:hAnsi="Times New Roman;serif"/>
          <w:b w:val="false"/>
          <w:color w:val="000000"/>
          <w:sz w:val="24"/>
        </w:rPr>
        <w:t xml:space="preserve">. Any other action taken or omitted to be taken with respect to the Credit Agreement, the Liabilities, or the security and collateral therefor, whether or not such action or omission prejudices Guarantor or increases the likelihood that Guarantor will be required to pay the Liabilities pursuant to the terms hereof; it being the unambiguous and unequivocal intention of Guarantor that Guarantor shall be obligated to pay the Liabilities when due, notwithstanding any occurrence, circumstance, event, action, or omission whatsoever, whether contemplated or uncontemplated, and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8"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whether or not otherwise or particularly described herein, except for the full and final payment and satisfaction of the Liabilities.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u w:val="single"/>
        </w:rPr>
        <w:t>ARTICLE 3</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u w:val="single"/>
        </w:rPr>
        <w:t>Representations and Warranties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Section 3.1    </w:t>
      </w:r>
      <w:r>
        <w:rPr>
          <w:rFonts w:ascii="Times New Roman;serif" w:hAnsi="Times New Roman;serif"/>
          <w:b w:val="false"/>
          <w:color w:val="000000"/>
          <w:sz w:val="24"/>
          <w:u w:val="single"/>
        </w:rPr>
        <w:t>By Guarantor</w:t>
      </w:r>
      <w:r>
        <w:rPr>
          <w:rFonts w:ascii="Times New Roman;serif" w:hAnsi="Times New Roman;serif"/>
          <w:b w:val="false"/>
          <w:color w:val="000000"/>
          <w:sz w:val="24"/>
        </w:rPr>
        <w:t>. In order to induce the Lenders to accept this Guaranty Agreement, Guarantor represents and warrants to the Lenders (which representations and warranties will survive the creation of the Liabilities and any extension of credit thereunder) that:</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(a)    </w:t>
      </w:r>
      <w:r>
        <w:rPr>
          <w:rFonts w:ascii="Times New Roman;serif" w:hAnsi="Times New Roman;serif"/>
          <w:b w:val="false"/>
          <w:color w:val="000000"/>
          <w:sz w:val="24"/>
          <w:u w:val="single"/>
        </w:rPr>
        <w:t>Benefit to Guarantor</w:t>
      </w:r>
      <w:r>
        <w:rPr>
          <w:rFonts w:ascii="Times New Roman;serif" w:hAnsi="Times New Roman;serif"/>
          <w:b w:val="false"/>
          <w:color w:val="000000"/>
          <w:sz w:val="24"/>
        </w:rPr>
        <w:t>. Guarantor's guaranty pursuant to this Guaranty Agreement reasonably may be expected to benefit, directly or indirectly, Guarantor.</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(b)    </w:t>
      </w:r>
      <w:r>
        <w:rPr>
          <w:rFonts w:ascii="Times New Roman;serif" w:hAnsi="Times New Roman;serif"/>
          <w:b w:val="false"/>
          <w:color w:val="000000"/>
          <w:sz w:val="24"/>
          <w:u w:val="single"/>
        </w:rPr>
        <w:t>Existence</w:t>
      </w:r>
      <w:r>
        <w:rPr>
          <w:rFonts w:ascii="Times New Roman;serif" w:hAnsi="Times New Roman;serif"/>
          <w:b w:val="false"/>
          <w:color w:val="000000"/>
          <w:sz w:val="24"/>
        </w:rPr>
        <w:t>. Guarantor is a limited partnership, duly organized and legally existing under the laws of the jurisdiction of its organization and is duly qualified in all jurisdictions wherein the property owned or the business transacted by it makes such qualification necessary, except where the failure to be so qualified could reasonably be expected to have a Material Adverse Effect.</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(c)    </w:t>
      </w:r>
      <w:r>
        <w:rPr>
          <w:rFonts w:ascii="Times New Roman;serif" w:hAnsi="Times New Roman;serif"/>
          <w:b w:val="false"/>
          <w:color w:val="000000"/>
          <w:sz w:val="24"/>
          <w:u w:val="single"/>
        </w:rPr>
        <w:t>Power and Authorization</w:t>
      </w:r>
      <w:r>
        <w:rPr>
          <w:rFonts w:ascii="Times New Roman;serif" w:hAnsi="Times New Roman;serif"/>
          <w:b w:val="false"/>
          <w:color w:val="000000"/>
          <w:sz w:val="24"/>
        </w:rPr>
        <w:t>. Guarantor is duly authorized and empowered to execute, deliver and perform this Guaranty Agreement and all action on Guarantor's part requisite for the due execution, delivery and performance of this Guaranty Agreement has been duly and effectively taken.</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(d)    </w:t>
      </w:r>
      <w:r>
        <w:rPr>
          <w:rFonts w:ascii="Times New Roman;serif" w:hAnsi="Times New Roman;serif"/>
          <w:b w:val="false"/>
          <w:color w:val="000000"/>
          <w:sz w:val="24"/>
          <w:u w:val="single"/>
        </w:rPr>
        <w:t>Binding Obligations</w:t>
      </w:r>
      <w:r>
        <w:rPr>
          <w:rFonts w:ascii="Times New Roman;serif" w:hAnsi="Times New Roman;serif"/>
          <w:b w:val="false"/>
          <w:color w:val="000000"/>
          <w:sz w:val="24"/>
        </w:rPr>
        <w:t>. This Guaranty Agreement constitutes a valid and binding obligation of Guarantor, enforceable in accordance with its terms (except that enforcement may be subject to any applicable bankruptcy, insolvency or similar laws generally affecting the enforcement of creditors' rights).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(e)    </w:t>
      </w:r>
      <w:r>
        <w:rPr>
          <w:rFonts w:ascii="Times New Roman;serif" w:hAnsi="Times New Roman;serif"/>
          <w:b w:val="false"/>
          <w:color w:val="000000"/>
          <w:sz w:val="24"/>
          <w:u w:val="single"/>
        </w:rPr>
        <w:t>No Legal Bar</w:t>
      </w:r>
      <w:r>
        <w:rPr>
          <w:rFonts w:ascii="Times New Roman;serif" w:hAnsi="Times New Roman;serif"/>
          <w:b w:val="false"/>
          <w:color w:val="000000"/>
          <w:sz w:val="24"/>
        </w:rPr>
        <w:t>. This Guaranty Agreement will not violate any provisions of Guarantor's organizational documents or any contract, agreement, law, regulation, order, injunction, judgment, decree or writ to which Guarantor is subject.</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(f)    </w:t>
      </w:r>
      <w:r>
        <w:rPr>
          <w:rFonts w:ascii="Times New Roman;serif" w:hAnsi="Times New Roman;serif"/>
          <w:b w:val="false"/>
          <w:color w:val="000000"/>
          <w:sz w:val="24"/>
          <w:u w:val="single"/>
        </w:rPr>
        <w:t>No Consent</w:t>
      </w:r>
      <w:r>
        <w:rPr>
          <w:rFonts w:ascii="Times New Roman;serif" w:hAnsi="Times New Roman;serif"/>
          <w:b w:val="false"/>
          <w:color w:val="000000"/>
          <w:sz w:val="24"/>
        </w:rPr>
        <w:t>. Guarantor's execution, delivery and performance of this Guaranty Agreement does not require the consent or approval of any other Person, including without limitation any regulatory authority or governmental body of the United States or any state thereof or any political subdivision of the United States or any state thereof.</w:t>
      </w:r>
    </w:p>
    <w:p>
      <w:pPr>
        <w:pStyle w:val="TextBody"/>
        <w:bidi w:val="0"/>
        <w:spacing w:before="0" w:after="0"/>
        <w:jc w:val="left"/>
        <w:rPr/>
      </w:pPr>
      <w:r>
        <w:rPr/>
      </w:r>
    </w:p>
    <w:p>
      <w:pPr>
        <w:pStyle w:val="TextBody"/>
        <w:bidi w:val="0"/>
        <w:spacing w:lineRule="auto" w:line="288"/>
        <w:jc w:val="left"/>
        <w:rPr/>
      </w:pPr>
      <w:r>
        <w:rPr>
          <w:color w:val="000000"/>
        </w:rPr>
        <w:t>    </w:t>
      </w:r>
      <w:r>
        <w:rPr>
          <w:rFonts w:ascii="Times New Roman;serif" w:hAnsi="Times New Roman;serif"/>
          <w:b w:val="false"/>
          <w:color w:val="000000"/>
          <w:sz w:val="24"/>
        </w:rPr>
        <w:t>(g)    </w:t>
      </w:r>
      <w:r>
        <w:rPr>
          <w:rFonts w:ascii="Times New Roman;serif" w:hAnsi="Times New Roman;serif"/>
          <w:b w:val="false"/>
          <w:color w:val="000000"/>
          <w:sz w:val="24"/>
          <w:u w:val="single"/>
        </w:rPr>
        <w:t>Solvency</w:t>
      </w:r>
      <w:r>
        <w:rPr>
          <w:rFonts w:ascii="Times New Roman;serif" w:hAnsi="Times New Roman;serif"/>
          <w:b w:val="false"/>
          <w:color w:val="000000"/>
          <w:sz w:val="24"/>
        </w:rPr>
        <w:t xml:space="preserve">. The Guarantor hereby represents that (i) it is not insolvent as of the date hereof and will not be rendered insolvent as a result of this Guaranty Agreement, (ii) it is not engaged in business or a transaction, or about to engage in a business or a transaction, for which any property or assets remaining with such Guarantor is unreasonably small capital, and (iii) it does not intend to </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29"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incur, or believe it will incur, debts that will be beyond its ability to pay as such debts mature. </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Section 3.2    </w:t>
      </w:r>
      <w:r>
        <w:rPr>
          <w:rFonts w:ascii="Times New Roman;serif" w:hAnsi="Times New Roman;serif"/>
          <w:b w:val="false"/>
          <w:color w:val="000000"/>
          <w:sz w:val="24"/>
          <w:u w:val="single"/>
        </w:rPr>
        <w:t>No Representation by Lenders</w:t>
      </w:r>
      <w:r>
        <w:rPr>
          <w:rFonts w:ascii="Times New Roman;serif" w:hAnsi="Times New Roman;serif"/>
          <w:b w:val="false"/>
          <w:color w:val="000000"/>
          <w:sz w:val="24"/>
        </w:rPr>
        <w:t>. Neither the Lenders nor any other Person has made any representation, warranty or statement to the Guarantor in order to induce the Guarantor to execute this Guaranty Agreement.</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u w:val="single"/>
        </w:rPr>
        <w:t>ARTICLE 4</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u w:val="single"/>
        </w:rPr>
        <w:t>Subordination of Indebtedness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Section 4.1    </w:t>
      </w:r>
      <w:r>
        <w:rPr>
          <w:rFonts w:ascii="Times New Roman;serif" w:hAnsi="Times New Roman;serif"/>
          <w:b w:val="false"/>
          <w:color w:val="000000"/>
          <w:sz w:val="24"/>
          <w:u w:val="single"/>
        </w:rPr>
        <w:t>Subordination of All Guarantor Claims</w:t>
      </w:r>
      <w:r>
        <w:rPr>
          <w:rFonts w:ascii="Times New Roman;serif" w:hAnsi="Times New Roman;serif"/>
          <w:b w:val="false"/>
          <w:color w:val="000000"/>
          <w:sz w:val="24"/>
        </w:rPr>
        <w:t>. As used herein, the term “</w:t>
      </w:r>
      <w:r>
        <w:rPr>
          <w:rFonts w:ascii="Times New Roman;serif" w:hAnsi="Times New Roman;serif"/>
          <w:b w:val="false"/>
          <w:color w:val="000000"/>
          <w:sz w:val="24"/>
          <w:u w:val="single"/>
        </w:rPr>
        <w:t>Guarantor Claims</w:t>
      </w:r>
      <w:r>
        <w:rPr>
          <w:color w:val="000000"/>
        </w:rPr>
        <w:t xml:space="preserve">” </w:t>
      </w:r>
      <w:r>
        <w:rPr>
          <w:rFonts w:ascii="Times New Roman;serif" w:hAnsi="Times New Roman;serif"/>
          <w:b w:val="false"/>
          <w:color w:val="000000"/>
          <w:sz w:val="24"/>
        </w:rPr>
        <w:t>shall mean all debts and liabilities of Borrower to Guarantor, whether such debts and liabilities now exist or are hereafter incurred or arise, or whether the obligation of Borrower thereon be direct, contingent, primary, secondary, several, joint and several, or otherwise, and irrespective of whether such debts or liabilities be evidenced by note, contract, open account, or otherwise, and irrespective of the person or persons in whose favor such debts or liabilities may, at their inception, have been, or may hereafter be created, or the manner in which they have been or may hereafter be acquired by Guarantor. The Guarantor Claims shall include without limitation all rights and claims of Guarantor against Borrower arising as a result of subrogation or otherwise as a result of Guarantor's payment of all or a portion of the Liabilities. Until the Liabilities shall be paid and satisfied in full and Guarantor shall have performed all of its obligations hereunder, Guarantor shall not receive or collect, directly or indirectly, from Borrower or any other party any amount upon the Guarantor Claims if an Event of Default exists at the time of such receipt or collection.</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Section 4.2    </w:t>
      </w:r>
      <w:r>
        <w:rPr>
          <w:rFonts w:ascii="Times New Roman;serif" w:hAnsi="Times New Roman;serif"/>
          <w:b w:val="false"/>
          <w:color w:val="000000"/>
          <w:sz w:val="24"/>
          <w:u w:val="single"/>
        </w:rPr>
        <w:t>Claims in Bankruptcy</w:t>
      </w:r>
      <w:r>
        <w:rPr>
          <w:rFonts w:ascii="Times New Roman;serif" w:hAnsi="Times New Roman;serif"/>
          <w:b w:val="false"/>
          <w:color w:val="000000"/>
          <w:sz w:val="24"/>
        </w:rPr>
        <w:t>. In the event of receivership, bankruptcy, reorganization, arrangement, debtor's relief, or other insolvency proceedings involving Borrower as debtor, the Lenders shall have the right to prove their claim in any proceeding, so as to establish its rights hereunder and receive directly from the receiver, trustee or other court custodian, dividends and payments which would otherwise be payable upon Guarantor Claims up to the amount of the Liabilities. Guarantor hereby assigns such dividends and payments to the Lenders up to the amount of the Liabilities. Should the Agent or any Lender receive, for application upon the Liabilities, any such dividend or payment which is otherwise payable to Guarantor, and which, as between Borrower and Guarantor, shall constitute a credit upon the Guarantor Claims, then upon payment in full of the Liabilities, Guarantor shall become subrogated to the rights of the Lenders to the extent that such payments to the Lenders on the Guarantor Claims have contributed toward the liquidation of the Liabilities, and such subrogation shall be with respect to that proportion of the Liabilities which would have been unpaid if the Agent or a Lender had not received dividends or payments upon the Guarantor Claims.</w:t>
      </w:r>
    </w:p>
    <w:p>
      <w:pPr>
        <w:pStyle w:val="TextBody"/>
        <w:bidi w:val="0"/>
        <w:spacing w:before="0" w:after="0"/>
        <w:jc w:val="left"/>
        <w:rPr/>
      </w:pPr>
      <w:r>
        <w:rPr/>
      </w:r>
    </w:p>
    <w:p>
      <w:pPr>
        <w:pStyle w:val="TextBody"/>
        <w:bidi w:val="0"/>
        <w:spacing w:lineRule="auto" w:line="288"/>
        <w:jc w:val="left"/>
        <w:rPr/>
      </w:pPr>
      <w:r>
        <w:rPr>
          <w:color w:val="000000"/>
        </w:rPr>
        <w:t>    </w:t>
      </w:r>
      <w:r>
        <w:rPr>
          <w:rFonts w:ascii="Times New Roman;serif" w:hAnsi="Times New Roman;serif"/>
          <w:b w:val="false"/>
          <w:color w:val="000000"/>
          <w:sz w:val="24"/>
        </w:rPr>
        <w:t>Section 4.3    </w:t>
      </w:r>
      <w:r>
        <w:rPr>
          <w:rFonts w:ascii="Times New Roman;serif" w:hAnsi="Times New Roman;serif"/>
          <w:b w:val="false"/>
          <w:color w:val="000000"/>
          <w:sz w:val="24"/>
          <w:u w:val="single"/>
        </w:rPr>
        <w:t>Payments Held in Trust</w:t>
      </w:r>
      <w:r>
        <w:rPr>
          <w:rFonts w:ascii="Times New Roman;serif" w:hAnsi="Times New Roman;serif"/>
          <w:b w:val="false"/>
          <w:color w:val="000000"/>
          <w:sz w:val="24"/>
        </w:rPr>
        <w:t>. In the event that notwithstanding Sections 4.1 and 4.2 above, Guarantor should receive any funds, payments, claims or distributions which is prohibited by such Sections, Guarantor agrees to hold in trust for the Lenders an amount equal to the amount of all funds, payments, claims or distributions so received, and agrees that it shall have absolutely no dominion over the amount of such funds, payments, claims or distributions except to pay them promptly to the Agent, and Guarantor covenants promptly to pay the same to the Agent.</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0"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Section 4.4    </w:t>
      </w:r>
      <w:r>
        <w:rPr>
          <w:rFonts w:ascii="Times New Roman;serif" w:hAnsi="Times New Roman;serif"/>
          <w:b w:val="false"/>
          <w:color w:val="000000"/>
          <w:sz w:val="24"/>
          <w:u w:val="single"/>
        </w:rPr>
        <w:t>Liens Subordinate</w:t>
      </w:r>
      <w:r>
        <w:rPr>
          <w:rFonts w:ascii="Times New Roman;serif" w:hAnsi="Times New Roman;serif"/>
          <w:b w:val="false"/>
          <w:color w:val="000000"/>
          <w:sz w:val="24"/>
        </w:rPr>
        <w:t>. Guarantor agrees that any liens, security interests, judgment liens, charges or other encumbrances upon Borrower's assets securing payment of the Guarantor Claims shall be and remain inferior and subordinate to any liens, security interests, judgment liens, charges or other encumbrances upon Borrower's assets securing payment of the Liabilities, regardless of whether such encumbrances in favor of Guarantor, the Agent or the Lenders presently exist or are hereafter created or attach. Without the prior written consent of the Lenders, Guarantor shall not (a) exercise or enforce any creditor's right it may have against the Borrower, or (b) foreclose, repossess, sequester or otherwise take steps or institute any action or proceeding (judicial or otherwise, including without limitation the commencement of or joinder in any liquidation, bankruptcy, rearrangement, debtor's relief or insolvency proceeding) to enforce any lien, mortgages, deeds of trust, security interest, collateral rights, judgments or other encumbrances on assets of Borrower held by Guarantor.</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Section 4.5    </w:t>
      </w:r>
      <w:r>
        <w:rPr>
          <w:rFonts w:ascii="Times New Roman;serif" w:hAnsi="Times New Roman;serif"/>
          <w:b w:val="false"/>
          <w:color w:val="000000"/>
          <w:sz w:val="24"/>
          <w:u w:val="single"/>
        </w:rPr>
        <w:t>Notation of Records</w:t>
      </w:r>
      <w:r>
        <w:rPr>
          <w:rFonts w:ascii="Times New Roman;serif" w:hAnsi="Times New Roman;serif"/>
          <w:b w:val="false"/>
          <w:color w:val="000000"/>
          <w:sz w:val="24"/>
        </w:rPr>
        <w:t>. All promissory notes of the Borrower accepted by or held by Guarantor shall contain a specific written notice thereon that the indebtedness evidenced thereby is subordinated under the terms of this Guaranty Agreement.</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u w:val="single"/>
        </w:rPr>
        <w:t>ARTICLE 5</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u w:val="single"/>
        </w:rPr>
        <w:t>Miscellaneous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Section 5.1    </w:t>
      </w:r>
      <w:r>
        <w:rPr>
          <w:rFonts w:ascii="Times New Roman;serif" w:hAnsi="Times New Roman;serif"/>
          <w:b w:val="false"/>
          <w:color w:val="000000"/>
          <w:sz w:val="24"/>
          <w:u w:val="single"/>
        </w:rPr>
        <w:t>Successors and Assigns</w:t>
      </w:r>
      <w:r>
        <w:rPr>
          <w:rFonts w:ascii="Times New Roman;serif" w:hAnsi="Times New Roman;serif"/>
          <w:b w:val="false"/>
          <w:color w:val="000000"/>
          <w:sz w:val="24"/>
        </w:rPr>
        <w:t>. This Guaranty Agreement is and shall be in every particular available to the respective successors and assigns of the Agent and the Lenders and is and shall always be fully binding upon the legal representatives, heirs, successors and assigns of Guarantor, notwithstanding that some or all of the monies, the repayment of which is guaranteed by this Guaranty Agreement, may be actually advanced after any bankruptcy, receivership, reorganization, death, disability or other event affecting Guarantor.</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Section 5.2    </w:t>
      </w:r>
      <w:r>
        <w:rPr>
          <w:rFonts w:ascii="Times New Roman;serif" w:hAnsi="Times New Roman;serif"/>
          <w:b w:val="false"/>
          <w:color w:val="000000"/>
          <w:sz w:val="24"/>
          <w:u w:val="single"/>
        </w:rPr>
        <w:t>Notices</w:t>
      </w:r>
      <w:r>
        <w:rPr>
          <w:rFonts w:ascii="Times New Roman;serif" w:hAnsi="Times New Roman;serif"/>
          <w:b w:val="false"/>
          <w:color w:val="000000"/>
          <w:sz w:val="24"/>
        </w:rPr>
        <w:t>. Any notice or demand to Guarantor under or in connection with this Guaranty Agreement may be given and shall conclusively be deemed and considered to have been given and received in accordance with Section 9.01 of the Credit Agreement, addressed to Guarantor at the address on the signature page hereof or at such other address provided by the Guarantor to the Agent in writing.</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Section 5.3    </w:t>
      </w:r>
      <w:r>
        <w:rPr>
          <w:rFonts w:ascii="Times New Roman;serif" w:hAnsi="Times New Roman;serif"/>
          <w:b w:val="false"/>
          <w:color w:val="000000"/>
          <w:sz w:val="24"/>
          <w:u w:val="single"/>
        </w:rPr>
        <w:t>Construction</w:t>
      </w:r>
      <w:r>
        <w:rPr>
          <w:rFonts w:ascii="Times New Roman;serif" w:hAnsi="Times New Roman;serif"/>
          <w:b w:val="false"/>
          <w:color w:val="000000"/>
          <w:sz w:val="24"/>
        </w:rPr>
        <w:t>. This Guaranty Agreement is a contract made under and shall be construed in accordance with and governed by the laws of the State of New York.</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Section 5.4    </w:t>
      </w:r>
      <w:r>
        <w:rPr>
          <w:rFonts w:ascii="Times New Roman;serif" w:hAnsi="Times New Roman;serif"/>
          <w:b w:val="false"/>
          <w:color w:val="000000"/>
          <w:sz w:val="24"/>
          <w:u w:val="single"/>
        </w:rPr>
        <w:t>Invalidity</w:t>
      </w:r>
      <w:r>
        <w:rPr>
          <w:rFonts w:ascii="Times New Roman;serif" w:hAnsi="Times New Roman;serif"/>
          <w:b w:val="false"/>
          <w:color w:val="000000"/>
          <w:sz w:val="24"/>
        </w:rPr>
        <w:t>. In the event that any one or more of the provisions contained in this Guaranty Agreement shall, for any reason, be held invalid, illegal or unenforceable in any respect, such invalidity, illegality or unenforceability shall not affect any other provision of this Guaranty Agreement.</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Section 5.5    </w:t>
      </w:r>
      <w:r>
        <w:rPr>
          <w:rFonts w:ascii="Times New Roman;serif" w:hAnsi="Times New Roman;serif"/>
          <w:b w:val="false"/>
          <w:color w:val="000000"/>
          <w:sz w:val="24"/>
          <w:u w:val="single"/>
        </w:rPr>
        <w:t>Liability of General Partner and Manager</w:t>
      </w:r>
      <w:r>
        <w:rPr>
          <w:rFonts w:ascii="Times New Roman;serif" w:hAnsi="Times New Roman;serif"/>
          <w:b w:val="false"/>
          <w:color w:val="000000"/>
          <w:sz w:val="24"/>
        </w:rPr>
        <w:t>. It is hereby understood and agreed that Enterprise Products Holdings LLC, the general partner of the Guarantor, shall have no personal liability, as general partner or otherwise, for the payment of the Liabilities or any amount owing or to be owing hereunder.</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1"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0"/>
        <w:jc w:val="left"/>
        <w:rPr/>
      </w:pPr>
      <w:r>
        <w:rPr>
          <w:color w:val="000000"/>
        </w:rPr>
        <w:t>    </w:t>
      </w:r>
      <w:r>
        <w:rPr>
          <w:rFonts w:ascii="Times New Roman;serif" w:hAnsi="Times New Roman;serif"/>
          <w:b w:val="false"/>
          <w:color w:val="000000"/>
          <w:sz w:val="24"/>
        </w:rPr>
        <w:t>Section 5.6    </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xml:space="preserve">. </w:t>
      </w:r>
      <w:r>
        <w:rPr>
          <w:rFonts w:ascii="Times New Roman;serif" w:hAnsi="Times New Roman;serif"/>
          <w:b/>
          <w:color w:val="000000"/>
          <w:sz w:val="24"/>
          <w:u w:val="single"/>
        </w:rPr>
        <w:t>This Written Guaranty Agreement Embodies the Entire Agreement and Understanding Between the Agent, The Lenders and the Guarantor and Supersedes All Other Agreements and Understandings Between Such Parties Relating to the Subject Matter Hereof and Thereof. This Written Guaranty Agreement Represents the Final Agreement Between the Parties and May Not Be Contradicted by Evidence of Prior, Contemporaneous, or Subsequent Oral Agreements of the Parties. There Are No Unwritten Oral Agreements Between the Parties</w:t>
      </w:r>
      <w:r>
        <w:rPr>
          <w:rFonts w:ascii="Times New Roman;serif" w:hAnsi="Times New Roman;serif"/>
          <w:b/>
          <w:color w:val="000000"/>
          <w:sz w:val="24"/>
        </w:rPr>
        <w:t>.</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Section 5.7    </w:t>
      </w:r>
      <w:r>
        <w:rPr>
          <w:rFonts w:ascii="Times New Roman;serif" w:hAnsi="Times New Roman;serif"/>
          <w:b w:val="false"/>
          <w:color w:val="000000"/>
          <w:sz w:val="24"/>
          <w:u w:val="single"/>
        </w:rPr>
        <w:t>Submission to Jurisdiction</w:t>
      </w:r>
      <w:r>
        <w:rPr>
          <w:rFonts w:ascii="Times New Roman;serif" w:hAnsi="Times New Roman;serif"/>
          <w:b w:val="false"/>
          <w:color w:val="000000"/>
          <w:sz w:val="24"/>
        </w:rPr>
        <w:t>. The Guarantor hereby irrevocably and unconditionally submits, for itself and its property, to the nonexclusive jurisdiction of the Supreme Court of the State of New York sitting in New York County and of the United States District Court of the Southern District of New York, and any appellate court from any thereof, in any action or proceeding arising out of or relating to this Guaranty Agreement, or for recognition or enforcement of any judgment, and the Guarantor hereby irrevocably and unconditionally agrees that all claims in respect of any such action or proceeding may be heard and determined in such New York State or, to the extent permitted by law, in such Federal court. The Guarantor agrees that a final judgment in any such action or proceeding shall be conclusive and may be enforced in other jurisdictions by suit on the judgment or in any other manner provided by law. Nothing in this Guaranty Agreement shall affect any right that the Administrative Agent may otherwise have to bring any action or proceeding relating to this Guaranty Agreement against the Guarantor or its properties in the courts of any jurisdiction. The Guarantor hereby irrevocably and unconditionally waives, to the fullest extent it may legally and effectively do so, any objection which it may now or hereafter have to the laying of venue of any suit, action or proceeding arising out of or relating to this Guaranty Agreement in any court referred to above. The Guarantor hereby irrevocably waives, to the fullest extent permitted by law, the defense of an inconvenient forum to the maintenance of such action or proceeding in any such court. The Guarantor irrevocably consents to service of process in the manner provided for notices in Section 5.2 above. Nothing in this Guaranty Agreement will affect the right of Administrative Agent or any Lender to serve process in any other manner permitted by law.</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 xml:space="preserve">SECTION 5.8 </w:t>
      </w:r>
      <w:r>
        <w:rPr>
          <w:rFonts w:ascii="Times New Roman;serif" w:hAnsi="Times New Roman;serif"/>
          <w:b w:val="false"/>
          <w:color w:val="000000"/>
          <w:sz w:val="24"/>
          <w:u w:val="single"/>
        </w:rPr>
        <w:t>WAIVER OF JURY TRIAL</w:t>
      </w:r>
      <w:r>
        <w:rPr>
          <w:rFonts w:ascii="Times New Roman;serif" w:hAnsi="Times New Roman;serif"/>
          <w:b w:val="false"/>
          <w:color w:val="000000"/>
          <w:sz w:val="24"/>
        </w:rPr>
        <w:t>. THE GUARANTOR HEREBY WAIVES, TO THE FULLEST EXTENT PERMITTED BY APPLICABLE LAW, ANY RIGHT IT MAY HAVE TO A TRIAL BY JURY IN ANY LEGAL PROCEEDING DIRECTLY OR INDIRECTLY ARISING OUT OF OR RELATING TO THIS GUARANTY AGREEMENT OR THE TRANSACTIONS CONTEMPLATED HEREBY (WHETHER BASED ON CONTRACT, TORT OR ANY OTHER THEORY). THE GUARANTOR (A) CERTIFIES THAT NO REPRESENTATIVE, AGENT OR ATTORNEY OF ADMINISTRATIVE AGENT, ANY LENDER OR ANY OTHER PARTY HAS REPRESENTED, EXPRESSLY OR OTHERWISE, THAT SUCH OTHER PARTY WOULD NOT, IN THE EVENT OF LITIGATION, SEEK TO ENFORCE THE FOREGOING WAIVER AND (B) ACKNOWLEDGES THAT IT AND ADMINISTRATIVE AGENT, BY ITS ACCEPTANCE HEREOF, HAVE BEEN INDUCED TO ENTER INTO OR ACCEPT THIS GUARANTY AGREEMENT BY, AMONG OTHER THINGS, THE MUTUAL WAIVERS AND CERTIFICATIONS IN THIS SECTION.</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2"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WITNESS THE EXECUTION HEREOF, as of the date first above written.</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ENTERPRISE PRODUCTS PARTNERS L.P.,</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a Delaware limited partnership</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By: Enterprise Products Holdings LLC,</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4"/>
        </w:rPr>
        <w:t>General Partner</w:t>
      </w:r>
    </w:p>
    <w:p>
      <w:pPr>
        <w:pStyle w:val="TextBody"/>
        <w:bidi w:val="0"/>
        <w:spacing w:before="0" w:after="0"/>
        <w:jc w:val="left"/>
        <w:rPr/>
      </w:pPr>
      <w:r>
        <w:rPr/>
      </w:r>
    </w:p>
    <w:p>
      <w:pPr>
        <w:pStyle w:val="TextBody"/>
        <w:bidi w:val="0"/>
        <w:spacing w:lineRule="auto" w:line="276" w:before="0" w:after="0"/>
        <w:jc w:val="left"/>
        <w:rPr/>
      </w:pPr>
      <w:r>
        <w:rPr>
          <w:color w:val="000000"/>
        </w:rPr>
        <w:t>                        </w:t>
      </w:r>
      <w:r>
        <w:rPr>
          <w:rFonts w:ascii="Times New Roman;serif" w:hAnsi="Times New Roman;serif"/>
          <w:b w:val="false"/>
          <w:color w:val="000000"/>
          <w:sz w:val="24"/>
        </w:rPr>
        <w:t>By:</w:t>
      </w:r>
      <w:r>
        <w:rPr>
          <w:color w:val="000000"/>
          <w:u w:val="single"/>
        </w:rPr>
        <w:t xml:space="preserve"> </w:t>
      </w:r>
      <w:r>
        <w:rPr>
          <w:rFonts w:ascii="Times New Roman;serif" w:hAnsi="Times New Roman;serif"/>
          <w:b w:val="false"/>
          <w:color w:val="000000"/>
          <w:sz w:val="24"/>
          <w:u w:val="single"/>
        </w:rPr>
        <w:t>/s/ Christian M. Nelly            </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4"/>
        </w:rPr>
        <w:t>Christian M. “Chris” Nelly</w:t>
      </w:r>
    </w:p>
    <w:p>
      <w:pPr>
        <w:pStyle w:val="TextBody"/>
        <w:bidi w:val="0"/>
        <w:spacing w:lineRule="auto" w:line="288" w:before="0" w:after="0"/>
        <w:ind w:left="0" w:right="0" w:hanging="4590"/>
        <w:jc w:val="left"/>
        <w:rPr>
          <w:color w:val="000000"/>
        </w:rPr>
      </w:pPr>
      <w:r>
        <w:rPr>
          <w:color w:val="000000"/>
        </w:rPr>
        <w:t xml:space="preserve">                         </w:t>
      </w:r>
      <w:r>
        <w:rPr>
          <w:rFonts w:ascii="Times New Roman;serif" w:hAnsi="Times New Roman;serif"/>
          <w:b w:val="false"/>
          <w:color w:val="000000"/>
          <w:sz w:val="24"/>
        </w:rPr>
        <w:t>Executive Vice President – Finance and Sustainability and Treasurer</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1100 Louisiana Street, 10th Floor</w:t>
      </w:r>
    </w:p>
    <w:p>
      <w:pPr>
        <w:pStyle w:val="TextBody"/>
        <w:bidi w:val="0"/>
        <w:spacing w:lineRule="auto" w:line="276"/>
        <w:jc w:val="left"/>
        <w:rPr>
          <w:color w:val="000000"/>
        </w:rPr>
      </w:pPr>
      <w:r>
        <w:rPr>
          <w:color w:val="000000"/>
        </w:rPr>
        <w:t>                        </w:t>
      </w:r>
      <w:r>
        <w:rPr>
          <w:rFonts w:ascii="Times New Roman;serif" w:hAnsi="Times New Roman;serif"/>
          <w:b w:val="false"/>
          <w:color w:val="000000"/>
          <w:sz w:val="24"/>
        </w:rPr>
        <w:t>Houston, Texas 77002</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3"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ind w:left="0" w:right="0" w:firstLine="4680"/>
                              <w:jc w:val="left"/>
                              <w:rPr/>
                            </w:pPr>
                            <w:r>
                              <w:rPr>
                                <w:rFonts w:ascii="Times New Roman;serif" w:hAnsi="Times New Roman;serif"/>
                                <w:b w:val="false"/>
                                <w:color w:val="000000"/>
                                <w:sz w:val="24"/>
                              </w:rPr>
                              <w:t>S-1    </w:t>
                            </w:r>
                            <w:r>
                              <w:rPr>
                                <w:rFonts w:ascii="Times New Roman;serif" w:hAnsi="Times New Roman;serif"/>
                                <w:b w:val="false"/>
                                <w:color w:val="000000"/>
                                <w:sz w:val="20"/>
                              </w:rPr>
                              <w:t>July 2026</w:t>
                            </w:r>
                            <w:r>
                              <w:rPr>
                                <w:color w:val="000000"/>
                              </w:rPr>
                              <w:t xml:space="preserve"> </w:t>
                            </w:r>
                            <w:r>
                              <w:rPr>
                                <w:rFonts w:ascii="Times New Roman;serif" w:hAnsi="Times New Roman;serif"/>
                                <w:b w:val="false"/>
                                <w:color w:val="000000"/>
                                <w:sz w:val="20"/>
                              </w:rPr>
                              <w:t>EPD Guaranty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680"/>
                        <w:jc w:val="left"/>
                        <w:rPr/>
                      </w:pPr>
                      <w:r>
                        <w:rPr>
                          <w:rFonts w:ascii="Times New Roman;serif" w:hAnsi="Times New Roman;serif"/>
                          <w:b w:val="false"/>
                          <w:color w:val="000000"/>
                          <w:sz w:val="24"/>
                        </w:rPr>
                        <w:t>S-1    </w:t>
                      </w:r>
                      <w:r>
                        <w:rPr>
                          <w:rFonts w:ascii="Times New Roman;serif" w:hAnsi="Times New Roman;serif"/>
                          <w:b w:val="false"/>
                          <w:color w:val="000000"/>
                          <w:sz w:val="20"/>
                        </w:rPr>
                        <w:t>July 2026</w:t>
                      </w:r>
                      <w:r>
                        <w:rPr>
                          <w:color w:val="000000"/>
                        </w:rPr>
                        <w:t xml:space="preserve"> </w:t>
                      </w:r>
                      <w:r>
                        <w:rPr>
                          <w:rFonts w:ascii="Times New Roman;serif" w:hAnsi="Times New Roman;serif"/>
                          <w:b w:val="false"/>
                          <w:color w:val="000000"/>
                          <w:sz w:val="20"/>
                        </w:rPr>
                        <w:t>EPD Guaranty</w:t>
                      </w:r>
                    </w:p>
                  </w:txbxContent>
                </v:textbox>
                <w10:wrap type="none"/>
              </v:rect>
            </w:pict>
          </mc:Fallback>
        </mc:AlternateContent>
      </w:r>
    </w:p>
    <w:tbl>
      <w:tblPr>
        <w:tblW w:w="5606" w:type="dxa"/>
        <w:jc w:val="left"/>
        <w:tblInd w:w="0" w:type="dxa"/>
        <w:tblLayout w:type="fixed"/>
        <w:tblCellMar>
          <w:top w:w="28" w:type="dxa"/>
          <w:left w:w="28" w:type="dxa"/>
          <w:bottom w:w="28" w:type="dxa"/>
          <w:right w:w="28" w:type="dxa"/>
        </w:tblCellMar>
      </w:tblPr>
      <w:tblGrid>
        <w:gridCol w:w="1602"/>
        <w:gridCol w:w="1409"/>
        <w:gridCol w:w="1410"/>
        <w:gridCol w:w="346"/>
        <w:gridCol w:w="346"/>
        <w:gridCol w:w="493"/>
      </w:tblGrid>
      <w:tr>
        <w:trPr/>
        <w:tc>
          <w:tcPr>
            <w:tcW w:w="1602"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743200" cy="647700"/>
                  <wp:effectExtent l="0" t="0" r="0" b="0"/>
                  <wp:docPr id="13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 descr=""/>
                          <pic:cNvPicPr>
                            <a:picLocks noChangeAspect="1" noChangeArrowheads="1"/>
                          </pic:cNvPicPr>
                        </pic:nvPicPr>
                        <pic:blipFill>
                          <a:blip r:embed="rId2"/>
                          <a:stretch>
                            <a:fillRect/>
                          </a:stretch>
                        </pic:blipFill>
                        <pic:spPr bwMode="auto">
                          <a:xfrm>
                            <a:off x="0" y="0"/>
                            <a:ext cx="2743200" cy="647700"/>
                          </a:xfrm>
                          <a:prstGeom prst="rect">
                            <a:avLst/>
                          </a:prstGeom>
                        </pic:spPr>
                      </pic:pic>
                    </a:graphicData>
                  </a:graphic>
                </wp:inline>
              </w:drawing>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Exhibit 99.1</w:t>
            </w:r>
          </w:p>
        </w:tc>
      </w:tr>
    </w:tbl>
    <w:p>
      <w:pPr>
        <w:pStyle w:val="TextBody"/>
        <w:bidi w:val="0"/>
        <w:spacing w:lineRule="auto" w:line="288" w:before="0" w:after="360"/>
        <w:jc w:val="center"/>
        <w:rPr>
          <w:rFonts w:ascii="Times New Roman;serif" w:hAnsi="Times New Roman;serif"/>
          <w:b/>
          <w:color w:val="000000"/>
          <w:sz w:val="24"/>
        </w:rPr>
      </w:pPr>
      <w:r>
        <w:rPr>
          <w:rFonts w:ascii="Times New Roman;serif" w:hAnsi="Times New Roman;serif"/>
          <w:b/>
          <w:color w:val="000000"/>
          <w:sz w:val="24"/>
        </w:rPr>
        <w:t>Enterprise Reports Second Quarter 2026 Earnings</w:t>
      </w:r>
    </w:p>
    <w:p>
      <w:pPr>
        <w:pStyle w:val="TextBody"/>
        <w:bidi w:val="0"/>
        <w:spacing w:lineRule="auto" w:line="288" w:before="0" w:after="360"/>
        <w:ind w:left="0" w:right="0" w:firstLine="720"/>
        <w:jc w:val="both"/>
        <w:rPr/>
      </w:pPr>
      <w:r>
        <w:rPr>
          <w:rFonts w:ascii="Times New Roman;serif" w:hAnsi="Times New Roman;serif"/>
          <w:b/>
          <w:color w:val="000000"/>
          <w:sz w:val="20"/>
        </w:rPr>
        <w:t>Houston, Texas (Thursday, July 30, 2026)</w:t>
      </w:r>
      <w:r>
        <w:rPr>
          <w:color w:val="000000"/>
        </w:rPr>
        <w:t xml:space="preserve"> – </w:t>
      </w:r>
      <w:r>
        <w:rPr>
          <w:rFonts w:ascii="Times New Roman;serif" w:hAnsi="Times New Roman;serif"/>
          <w:b w:val="false"/>
          <w:color w:val="000000"/>
          <w:sz w:val="20"/>
        </w:rPr>
        <w:t>Enterprise Products Partners L.P. (“Enterprise”) (NYSE: EPD) today announced its financial results for the three and six months ended June 30, 2026.</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Financial Highlights (2Q 2026 compared to 2Q 2025, as applicable)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Net income attributable to common unitholders: a record $1.8 billion, $0.84 per diluted common unit, up 28%</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Adjusted EBITDA: a record $2.8 billion, up 17%</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Operational DCF: a record $2.3 billion, which provided 1.9x coverage of distributions declared for 2Q 2026, up 21%; retained $1.1 billion of DCF</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Adjusted CFFO: a record $2.5 billion, up 19%</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Common unit repurchases: $159 million for the quarter and $405 million for the 12 months ended June 30, 2026; 34% cumulative utilization of $5.0 billion buyback program</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For the 12 months ended June 30, 2026, the payout ratio, comprised of distributions to common unitholders and common unit buybacks, was 56% of Adjusted CFFO</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Distributions declared: $0.56 per common unit, or $2.24 per common unit annualized, up 2.8%</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Capital Investment and Operational Highlights (2Q 2026 compared to 2Q 2025, as applicable)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Record equivalent pipeline volumes: 14.7 MMBPD, up 8%</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Record marine terminal volumes: 2.8 MMBPD, up 33%</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Assets placed into service: </w:t>
      </w:r>
      <w:r>
        <w:rPr>
          <w:rFonts w:ascii="Times New Roman;serif" w:hAnsi="Times New Roman;serif"/>
          <w:b w:val="false"/>
          <w:color w:val="000000"/>
          <w:sz w:val="20"/>
          <w:shd w:fill="FFFFFF" w:val="clear"/>
        </w:rPr>
        <w:t>Second phase of our Neches River Terminal in Texas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Capital investments for 2Q 2026: $1.2 billion, comprised of $1.0 billion for growth capital projects and $140 million for sustaining capital expenditures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Announced plans to construct a new 150 MBPD NGL fractionator (Frac 15) at our Mont Belvieu area complex</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Announced plans to construct a new 300 MMcf/d Gas Processing Plant (Plant 13) in the Delaware Basin and a new 300 MMcf/d Gas Processing Plant (Plant 11) in the Midland Basin; expected to begin service in the third quarter of 2028 and the first quarter of 2029, respectively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Growth capital spending for 2026, net of $599 million of proceeds from asset sales, is expected to be in the range of $2.9 to $3.4 billion; and $600 million for sustaining capital expenditures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u w:val="single"/>
        </w:rPr>
      </w:pPr>
      <w:r>
        <w:rPr>
          <w:rFonts w:ascii="Times New Roman;serif" w:hAnsi="Times New Roman;serif"/>
          <w:b/>
          <w:color w:val="000000"/>
          <w:sz w:val="20"/>
          <w:u w:val="single"/>
        </w:rPr>
        <w:t>Conference Call to Discuss Second Quarter 2026 Earnings</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Enterprise will host a conference call today to discuss second quarter 2026 earnings. The call will be webcast live beginning at 9:00 a.m. CT and may be accessed by visiting the partnership’s website at </w:t>
      </w:r>
      <w:r>
        <w:rPr>
          <w:rFonts w:ascii="Times New Roman;serif" w:hAnsi="Times New Roman;serif"/>
          <w:b w:val="false"/>
          <w:color w:val="0000FF"/>
          <w:sz w:val="20"/>
          <w:u w:val="single"/>
        </w:rPr>
        <w:t>www.enterpriseproducts.com</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val="false"/>
          <w:i/>
          <w:color w:val="000000"/>
          <w:sz w:val="16"/>
        </w:rPr>
      </w:pPr>
      <w:r>
        <w:rPr>
          <w:rFonts w:ascii="Times New Roman;serif" w:hAnsi="Times New Roman;serif"/>
          <w:b w:val="false"/>
          <w:i/>
          <w:color w:val="000000"/>
          <w:sz w:val="16"/>
        </w:rPr>
        <w:t>Adjusted earnings before interest, taxes, depreciation and amortization (“Adjusted EBITDA”), distributable cash flow (“DCF”), Operational distributable cash flow (“Operational DCF”), Adjusted cash flow from operations (“Adjusted CFFO”), total gross operating margin, and adjusted free cash flow (“Adjusted FCF”) are non-generally accepted accounting principle (“non-GAAP”) financial measures that are defined and reconciled later in this press release.</w:t>
      </w:r>
    </w:p>
    <w:p>
      <w:pPr>
        <w:pStyle w:val="TextBody"/>
        <w:bidi w:val="0"/>
        <w:spacing w:lineRule="auto" w:line="288" w:before="0" w:after="240"/>
        <w:jc w:val="both"/>
        <w:rPr>
          <w:rFonts w:ascii="Times New Roman;serif" w:hAnsi="Times New Roman;serif"/>
          <w:b w:val="false"/>
          <w:i/>
          <w:color w:val="000000"/>
          <w:sz w:val="16"/>
        </w:rPr>
      </w:pPr>
      <w:r>
        <w:rPr>
          <w:rFonts w:ascii="Times New Roman;serif" w:hAnsi="Times New Roman;serif"/>
          <w:b w:val="false"/>
          <w:i/>
          <w:color w:val="000000"/>
          <w:sz w:val="16"/>
        </w:rPr>
        <w:t>As used in this press release, “NGL” means natural gas liquids, “LPG” means liquefied petroleum gas, “BPD” means barrels per day, “MBPD” means thousand barrels per day, “MMBPD” means million barrels per day, “MMcf/d” means million cubic feet per day, “Bcf/d” means billion cubic feet per day, “BBtus/d” means billion British thermal units per day, “TBtus/d” means trillion British thermal units per day, and “PDH” means propane dehydrogenation.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0"/>
        </w:rPr>
        <w:t xml:space="preserve">Enterprise reported strong volumes, earnings and cash flow for the second quarter of 2026,” said A. J. “Jim” Teague, co-chief executive officer of Enterprise’s general partner. “The partnership handled record pipeline and marine terminal volumes during the quarter due in part to strong international demand for U.S. energy in April and May. We also benefited from new assets and expansion projects that began operating and commissioning activities within the last twelve months including Frac 14 at our Mont Belvieu area complex and the expansions of our Neches River and Morgan’s Point Terminals. Total pipeline equivalent volumes for the quarter increased 8 percent to 14.7 MMBPD compared to the second quarter of 2025 while total marine terminal equivalent volumes increased 33 percent to 2.8 MMBPD compared to the second quarter of last year. We also reported a 14 percent increase in propylene production volumes to a record 134 MBPD during the second quarter of 2026 as we achieved higher utilization rates at our propylene production facilities. While not a record, inlet volumes to our natural gas processing plants increased to 8.1 Bcf/d in the second quarter of 2026 primarily due to a 14 percent increase in volume to our natural gas processing plants in the Permian Basin. </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0"/>
        </w:rPr>
        <w:t>This volume growth, an increase in the value of our equity NGL production and higher marketing volumes and margins led to record earnings and cash flow in the second quarter of 2026. Operational distributable cash flow for the quarter increased 21 percent to a record $2.3 billion compared to the second quarter of last year. This provided 1.9 times coverage of the partnership’s cash distribution. In addition to $1.2 billion of cash distributions to unitholders, we retained $1.1 billion to apply to internally funded growth capital expenditures and buybacks,” stated Teague.</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0"/>
        </w:rPr>
        <w:t xml:space="preserve">I would like to congratulate our engineering and operations team for enabling Enterprise to respond to the acute global demand for U.S. energy by accelerating the completion of construction and beginning of commissioning activities for the expansion of our Neches River Terminal. Volumes at our marine terminals have returned to normal levels in June and July after the initial rush to backfill volumes affected by hostilities in the Middle East in April and May. Global shipping of energy, however, continues to be disrupted due to damage to production facilities and navigation restrictions in the Middle East, longer transits due to reroutes and the continuing uncertainty in the region,” continued Teague. </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0"/>
        </w:rPr>
        <w:t>During the quarter, we approved the construction of two new 300 MMcf/d gas processing plants located in the Permian Basin and a 150 MBPD NGL fractionator at our Mont Belvieu area complex. These assets support ongoing production growth in the Permian Basin and international demand for U.S NGLs. This brings the partnership’s total organic growth projects under construction to $6.5 billion. The next major capital project scheduled for completion is our expansion of the LPG export marine terminal on the Houston Ship Channel that is expected to begin operations by year end 2026,” concluded Teague.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u w:val="single"/>
        </w:rPr>
      </w:pPr>
      <w:r>
        <w:rPr>
          <w:rFonts w:ascii="Times New Roman;serif" w:hAnsi="Times New Roman;serif"/>
          <w:b/>
          <w:color w:val="000000"/>
          <w:sz w:val="20"/>
          <w:u w:val="single"/>
        </w:rPr>
        <w:t>Review of Second Quarter 2026 Results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Total gross operating margin for the second quarter of 2026 increased $514 million to a record $3.0 billion compared to the second quarter of 2025. This includes a $77 million increase in unrealized mark-to-market (“MTM”) gains on financial instruments used in our hedging activities.</w:t>
      </w:r>
    </w:p>
    <w:p>
      <w:pPr>
        <w:pStyle w:val="TextBody"/>
        <w:bidi w:val="0"/>
        <w:spacing w:lineRule="auto" w:line="288" w:before="0" w:after="240"/>
        <w:ind w:left="0" w:right="0" w:firstLine="720"/>
        <w:jc w:val="both"/>
        <w:rPr/>
      </w:pPr>
      <w:r>
        <w:rPr>
          <w:rFonts w:ascii="Times New Roman;serif" w:hAnsi="Times New Roman;serif"/>
          <w:b/>
          <w:color w:val="000000"/>
          <w:sz w:val="20"/>
        </w:rPr>
        <w:t>NGL Pipelines &amp; Services</w:t>
      </w:r>
      <w:r>
        <w:rPr>
          <w:color w:val="000000"/>
        </w:rPr>
        <w:t xml:space="preserve"> – </w:t>
      </w:r>
      <w:r>
        <w:rPr>
          <w:rFonts w:ascii="Times New Roman;serif" w:hAnsi="Times New Roman;serif"/>
          <w:b w:val="false"/>
          <w:color w:val="000000"/>
          <w:sz w:val="20"/>
        </w:rPr>
        <w:t>Gross operating margin from the NGL Pipelines &amp; Services segment was $1.5 billion for the second quarter of 2026 compared to $1.3 billion for the second quarter of 2025.</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Gross operating margin from the natural gas processing business and related NGL marketing activities was $512 million for the second quarter of 2026 compared to $341 million for the second quarter of 2025. Natural gas processing plant inlet volumes were 8.1 Bcf/d in the second quarter of 2026, a 4 percent increase compared to the second quarter of 2025. Notably, inlet volumes to the partnership’s natural gas processing plants in the Permian Basin increased 14 percent to 4.3 Bcf/d for the second quarter of 2026. Total fee-based natural gas processing volumes increased 182 MMcf/d to 7.4 Bcf/d in the second quarter of 2026 compared to the second quarter of last year. Total equity NGL-equivalent production volumes increased 7 percent to 230 MBPD in the second quarter of 2026 compared to the second quarter of 2025. The following highlights summarize selected variances within this business, with results for the second quarter of 2026 as compared to the second quarter of 2025:</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NGL marketing reported an $83 million increase in gross operating margin driven by higher average sales margin of $51 million, higher MTM earnings of $19 million and higher sales volumes of $13 million.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Midland Basin natural gas processing facilities reported a $47 million increase in gross operating margin primarily due to higher average processing margins, which includes a $38 million increase attributable to hedging activities, and increased volumes. Fee-based natural gas processing volumes increased 218 MMcf/d and equity NGL-equivalent production volumes increased 10 MBPD. </w:t>
      </w:r>
    </w:p>
    <w:p>
      <w:pPr>
        <w:pStyle w:val="TextBody"/>
        <w:bidi w:val="0"/>
        <w:spacing w:before="0" w:after="240"/>
        <w:jc w:val="both"/>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16840"/>
                <wp:effectExtent l="0" t="0" r="0" b="0"/>
                <wp:wrapNone/>
                <wp:docPr id="136" name="Frame13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2</w:t>
                      </w:r>
                    </w:p>
                  </w:txbxContent>
                </v:textbox>
                <w10:wrap type="none"/>
              </v:rect>
            </w:pict>
          </mc:Fallback>
        </mc:AlternateConten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Delaware Basin natural gas processing facilities reported a net $36 million increase in gross operating margin primarily due to higher average processing margins and increased volumes, partially offset by higher operating costs. Fee-based natural gas processing volumes increased 288 MMcf/d and equity NGL-equivalent production volumes increased 8 MBPD.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Gross operating margin from the NGL pipelines and storage business was $757 million for the second quarter of 2026 compared to $732 million for the second quarter of 2025. Total NGL pipeline volumes were a record 4.9 MMBPD in the second quarter of 2026, a 351 MBPD, or 8 percent, increase over the second quarter of 2025. Total NGL marine terminal volumes were a record 1.2 MMBPD in the second quarter of 2026, a 284 MBPD increase compared to the second quarter of 2025. The following summarizes the variance for this business, with results for the second quarter of 2026 as compared to the second quarter of 2025:</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Gross operating margin from the Morgan's Point, Neches River and Enterprise Hydrocarbons terminals and the associated Channel pipeline increased $35 million primarily driven by higher volumes, including the completion of the second phase of the Neches River Terminal in May 2026. On a combined basis, ethane export volumes increased by 143 MBPD and propane export volumes increased 141 MBPD.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Gross operating margin from the NGL fractionation business was a record $276 million for the second quarter of 2026 compared to $224 million for the second quarter of 2025. Total NGL fractionation volumes were 1.9 MMBPD for the second quarter of 2026 compared to 1.7 MMBPD for the second quarter of 2025. The following summarizes the variance for this business, with results for the second quarter of 2026 as compared to the second quarter of 2025:</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Gross operating margin from our Mont Belvieu area NGL fractionation complex increased $54 million primarily due to a 207 MBPD increase in fractionation volumes and higher ancillary service revenues, partially offset by higher operating costs. The higher fractionation volumes were primarily due to Frac 14, which was placed into service in the fourth quarter of 2025.</w:t>
      </w:r>
    </w:p>
    <w:p>
      <w:pPr>
        <w:pStyle w:val="TextBody"/>
        <w:bidi w:val="0"/>
        <w:spacing w:lineRule="auto" w:line="288" w:before="0" w:after="240"/>
        <w:ind w:left="0" w:right="0" w:firstLine="720"/>
        <w:jc w:val="both"/>
        <w:rPr/>
      </w:pPr>
      <w:r>
        <w:rPr>
          <w:rFonts w:ascii="Times New Roman;serif" w:hAnsi="Times New Roman;serif"/>
          <w:b/>
          <w:color w:val="000000"/>
          <w:sz w:val="20"/>
        </w:rPr>
        <w:t>Crude Oil Pipelines &amp; Services</w:t>
      </w:r>
      <w:r>
        <w:rPr>
          <w:color w:val="000000"/>
        </w:rPr>
        <w:t xml:space="preserve"> – </w:t>
      </w:r>
      <w:r>
        <w:rPr>
          <w:rFonts w:ascii="Times New Roman;serif" w:hAnsi="Times New Roman;serif"/>
          <w:b w:val="false"/>
          <w:color w:val="000000"/>
          <w:sz w:val="20"/>
        </w:rPr>
        <w:t>Gross operating margin from the Crude Oil Pipelines &amp; Services segment was $485 million for the second quarter of 2026 compared to $403 million for the second quarter of 2025. Total crude oil pipeline volumes were a record 3.0 MMBPD in the second quarter of 2026, a 403 MBPD increase compared to the second quarter of 2025. Total crude oil marine terminal volumes were a record 1.1 MMBPD in the second quarter of 2026 compared to 811 MBPD in the second quarter of 2025. The following highlights summarize selected variances within this segment, with results for the second quarter of 2026 as compared to the second quarter of 2025:</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On a combined basis, gross operating margin from our Texas crude oil pipelines, related terminals and marketing activities (excluding the Seaway Pipeline) increased $69 million primarily due to higher average sales margins and sales volumes, partially offset by higher operating costs. Crude oil pipeline volumes and EHT crude oil marine terminal volumes increased 265 MBPD and 227 MBPD, respectively.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Gross operating margin from the Seaway Pipeline system increased $23 million primarily due to higher pipeline volumes and crude oil marine terminal volumes (net to our interest), which benefited from exports of crude oil originating from the U.S. Strategic Petroleum Reserve. Net to our interest, pipeline volumes increased 138 MBPD and crude oil marine terminal volumes increased 86 MBPD. </w:t>
      </w:r>
    </w:p>
    <w:p>
      <w:pPr>
        <w:pStyle w:val="TextBody"/>
        <w:bidi w:val="0"/>
        <w:spacing w:lineRule="auto" w:line="288" w:before="0" w:after="240"/>
        <w:ind w:left="0" w:right="0" w:firstLine="720"/>
        <w:jc w:val="both"/>
        <w:rPr/>
      </w:pPr>
      <w:r>
        <w:rPr>
          <w:rFonts w:ascii="Times New Roman;serif" w:hAnsi="Times New Roman;serif"/>
          <w:b/>
          <w:color w:val="000000"/>
          <w:sz w:val="20"/>
        </w:rPr>
        <w:t xml:space="preserve">Natural Gas Pipelines &amp; Services </w:t>
      </w:r>
      <w:r>
        <w:rPr>
          <w:color w:val="000000"/>
        </w:rPr>
        <w:t xml:space="preserve">– </w:t>
      </w:r>
      <w:r>
        <w:rPr>
          <w:rFonts w:ascii="Times New Roman;serif" w:hAnsi="Times New Roman;serif"/>
          <w:b w:val="false"/>
          <w:color w:val="000000"/>
          <w:sz w:val="20"/>
        </w:rPr>
        <w:t>Gross operating margin for the Natural Gas Pipelines &amp; Services segment was a record $556 million for the second quarter of 2026 compared to $417 million for the second quarter of 2025. Total natural gas pipeline volumes were 21.0 TBtus/d in the second quarter of 2026, a 3 percent increase compared to 20.4 TBtus/d for the same quarter in 2025. The following highlights summarize selected variances within this segment, with results for the second quarter of 2026 as compared to the second quarter of 2025:</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Natural gas marketing reported a $91 million increase in gross operating margin primarily due to $60 million of higher average sales margins and $31 million of higher MTM earnings.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Texas Intrastate System gross operating margin increased $32 million primarily due to higher average transportation and related fees and increased pipeline volumes.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On a combined basis, gross operating margin from our Delaware Basin Gathering System and Midland Basin Gathering System increased a net $13 million primarily due to higher gathering volumes partially offset by higher operating costs. </w:t>
      </w:r>
    </w:p>
    <w:p>
      <w:pPr>
        <w:pStyle w:val="TextBody"/>
        <w:bidi w:val="0"/>
        <w:spacing w:before="0" w:after="240"/>
        <w:jc w:val="both"/>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16840"/>
                <wp:effectExtent l="0" t="0" r="0" b="0"/>
                <wp:wrapNone/>
                <wp:docPr id="137" name="Frame13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3</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0"/>
        </w:rPr>
        <w:t>Petrochemical &amp; Refined Products Services</w:t>
      </w:r>
      <w:r>
        <w:rPr>
          <w:color w:val="000000"/>
        </w:rPr>
        <w:t xml:space="preserve"> – </w:t>
      </w:r>
      <w:r>
        <w:rPr>
          <w:rFonts w:ascii="Times New Roman;serif" w:hAnsi="Times New Roman;serif"/>
          <w:b w:val="false"/>
          <w:color w:val="000000"/>
          <w:sz w:val="20"/>
        </w:rPr>
        <w:t>Gross operating margin for the Petrochemical &amp; Refined Products Services segment was $418 million for the second quarter of 2026 compared to $354 million for the second quarter of 2025. Total segment pipeline volumes were a record 1.2 MMBPD in the second quarter of 2026 compared to 1.0 MMBPD in the second quarter of 2025. Total marine terminal volumes were 422 MBPD in the second quarter of 2026 compared to 328 MBPD for the second quarter of 2025. The following highlights summarize selected variances within this segment, with results for the second quarter of 2026 as compared to the second quarter of 2025:</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partnership’s ethylene business reported a $23 million increase in gross operating margin primarily due to a 20 MBPD increase in export volumes, and higher sales and pipeline volumes.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Propylene production and related activities reported a net $19 million increase in gross operating margin primarily due to record propylene production volumes, which resulted in higher propylene sales volumes, and higher average propylene sales margins, partially offset by higher operating costs.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Gross operating margin from our octane enhancement and related plant operations increased $8 million due to higher average sales margins and higher MTM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u w:val="single"/>
        </w:rPr>
      </w:pPr>
      <w:r>
        <w:rPr>
          <w:rFonts w:ascii="Times New Roman;serif" w:hAnsi="Times New Roman;serif"/>
          <w:b/>
          <w:color w:val="000000"/>
          <w:sz w:val="20"/>
          <w:u w:val="single"/>
        </w:rPr>
        <w:t>Use of Non-GAAP Financial Measures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press release and accompanying schedules include the non-GAAP financial measures of total gross operating margin, Adjusted CFFO, Adjusted FCF, DCF, Operational DCF and Adjusted EBITDA. The accompanying schedules provide definitions of these non-GAAP financial measures and reconciliations to their most directly comparable financial measure calculated and presented in accordance with GAAP. Our non-GAAP financial measures should not be considered as alternatives to GAAP measures such as net income, operating income, net cash flow provided by operating activities or any other measure of financial performance calculated and presented in accordance with GAAP. Our non-GAAP financial measures may not be comparable to similarly titled measures of other companies because they may not calculate such measures in the same manner as we do.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u w:val="single"/>
        </w:rPr>
      </w:pPr>
      <w:r>
        <w:rPr>
          <w:rFonts w:ascii="Times New Roman;serif" w:hAnsi="Times New Roman;serif"/>
          <w:b/>
          <w:color w:val="000000"/>
          <w:sz w:val="20"/>
          <w:u w:val="single"/>
        </w:rPr>
        <w:t>Company Information and Use of Forward-Looking Statements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Enterprise Products Partners L.P. is one of the largest publicly traded partnerships and a leading North American provider of midstream energy services to producers and consumers of natural gas, NGLs, crude oil, refined products and petrochemicals. Services include: natural gas gathering, treating, processing, transportation and storage; NGL transportation, fractionation, storage and marine terminals; crude oil gathering, transportation, storage and marine terminals; petrochemical and refined products transportation, storage and marine terminals; and a marine transportation business that operates on key U.S. inland and intracoastal waterway systems. The partnership’s assets currently include more than 50,000 miles of pipelines; over 300 million barrels of storage capacity for NGLs, crude oil, petrochemicals and refined products; and 14 billion cubic feet of natural gas storage capacity.</w:t>
      </w:r>
    </w:p>
    <w:p>
      <w:pPr>
        <w:pStyle w:val="TextBody"/>
        <w:bidi w:val="0"/>
        <w:spacing w:lineRule="auto" w:line="288" w:before="0" w:after="24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This press release includes forward-looking statements. Except for the historical information contained herein, the matters discussed in this press release are forward-looking statements that involve certain risks and uncertainties, such as the partnership’s expectations regarding future results, capital expenditures, project completions, liquidity and financial market conditions. These risks and uncertainties include, among other things, insufficient cash from operations, adverse market conditions, governmental regulations and other factors discussed in Enterprise’s filings with the U.S. Securities and Exchange Commission. If any of these risks or uncertainties materialize, or should underlying assumptions prove incorrect, actual results or outcomes may vary materially from those expected. The partnership disclaims any intention or obligation to update publicly or reverse such statements, whether as a result of new information, future events or otherwise.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Contacts: Joe Theriac, Vice President, Finance &amp; Investor Relations, (713) 381-6394</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Rick Rainey, Vice President, Media Relations, (713) 381-3635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16840"/>
                <wp:effectExtent l="0" t="0" r="0" b="0"/>
                <wp:wrapNone/>
                <wp:docPr id="138" name="Frame13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4</w:t>
                      </w:r>
                    </w:p>
                  </w:txbxContent>
                </v:textbox>
                <w10:wrap type="none"/>
              </v:rect>
            </w:pict>
          </mc:Fallback>
        </mc:AlternateContent>
      </w:r>
    </w:p>
    <w:tbl>
      <w:tblPr>
        <w:tblW w:w="10002" w:type="dxa"/>
        <w:jc w:val="left"/>
        <w:tblInd w:w="0" w:type="dxa"/>
        <w:tblLayout w:type="fixed"/>
        <w:tblCellMar>
          <w:top w:w="28" w:type="dxa"/>
          <w:left w:w="28" w:type="dxa"/>
          <w:bottom w:w="28" w:type="dxa"/>
          <w:right w:w="28" w:type="dxa"/>
        </w:tblCellMar>
      </w:tblPr>
      <w:tblGrid>
        <w:gridCol w:w="1319"/>
        <w:gridCol w:w="1158"/>
        <w:gridCol w:w="1168"/>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245"/>
        <w:gridCol w:w="808"/>
        <w:gridCol w:w="192"/>
      </w:tblGrid>
      <w:tr>
        <w:trPr/>
        <w:tc>
          <w:tcPr>
            <w:tcW w:w="1319"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Enterprise Products Partners L.P.</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1" w:type="dxa"/>
            <w:gridSpan w:val="15"/>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Exhibit A</w:t>
            </w:r>
          </w:p>
        </w:tc>
      </w:tr>
      <w:tr>
        <w:trPr/>
        <w:tc>
          <w:tcPr>
            <w:tcW w:w="10002" w:type="dxa"/>
            <w:gridSpan w:val="30"/>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Condensed Statements of Consolidated Operations – UNAUDITED</w:t>
            </w:r>
          </w:p>
        </w:tc>
      </w:tr>
      <w:tr>
        <w:trPr/>
        <w:tc>
          <w:tcPr>
            <w:tcW w:w="10002" w:type="dxa"/>
            <w:gridSpan w:val="30"/>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millions, except per unit amounts)</w:t>
            </w:r>
          </w:p>
        </w:tc>
      </w:tr>
      <w:tr>
        <w:trPr/>
        <w:tc>
          <w:tcPr>
            <w:tcW w:w="3645"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Twelve</w:t>
              <w:br/>
              <w:t>Months Ended</w:t>
              <w:br/>
              <w:t>June 30,</w:t>
            </w:r>
          </w:p>
        </w:tc>
      </w:tr>
      <w:tr>
        <w:trPr/>
        <w:tc>
          <w:tcPr>
            <w:tcW w:w="3645"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Revenues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18,269 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32,655 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26,780 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58,471 </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Costs and expenses: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costs and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50,726 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costs and expenses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16,129 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28,696 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23,410 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50,977 </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Equity in income of unconsolidated affiliates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Operating income</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7,854 </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Other income (expense):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(1,498)</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expense, net</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(1,469)</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Income before income taxes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6,385 </w:t>
            </w:r>
          </w:p>
        </w:tc>
        <w:tc>
          <w:tcPr>
            <w:tcW w:w="1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income taxes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Net income</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6,368 </w:t>
            </w:r>
          </w:p>
        </w:tc>
        <w:tc>
          <w:tcPr>
            <w:tcW w:w="1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Net income attributable to noncontrolling interests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Net income attributable to preferred units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Net income attributable to common unitholders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6,304 </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Per common unit data (fully diluted):</w:t>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Earnings per common unit</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Average common units outstanding (in millions)</w:t>
            </w:r>
          </w:p>
        </w:tc>
        <w:tc>
          <w:tcPr>
            <w:tcW w:w="84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2,185 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2,190 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2,185 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2,190 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2,185 </w:t>
            </w:r>
          </w:p>
        </w:tc>
        <w:tc>
          <w:tcPr>
            <w:tcW w:w="19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Supplemental financial data:</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flow provided by operating activities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8,860 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flow used in investing activities</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1,154 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1,274 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1,535 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2,321 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4,705 </w:t>
            </w:r>
          </w:p>
        </w:tc>
        <w:tc>
          <w:tcPr>
            <w:tcW w:w="19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flow used in financing activities</w:t>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2,076 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145 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4,015 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1,796 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4,906 </w:t>
            </w:r>
          </w:p>
        </w:tc>
        <w:tc>
          <w:tcPr>
            <w:tcW w:w="19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debt principal outstanding at end of period</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33,532 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33,057 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33,532 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33,057 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33,532 </w:t>
            </w:r>
          </w:p>
        </w:tc>
        <w:tc>
          <w:tcPr>
            <w:tcW w:w="19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 xml:space="preserve">Non-GAAP Distributable Cash Flow </w:t>
            </w:r>
            <w:r>
              <w:rPr>
                <w:rFonts w:ascii="Times New Roman;serif" w:hAnsi="Times New Roman;serif"/>
                <w:b w:val="false"/>
                <w:color w:val="000000"/>
                <w:sz w:val="10"/>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9,070 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 xml:space="preserve">Non-GAAP Operational Distributable Cash Flow </w:t>
            </w:r>
            <w:r>
              <w:rPr>
                <w:rFonts w:ascii="Times New Roman;serif" w:hAnsi="Times New Roman;serif"/>
                <w:b w:val="false"/>
                <w:color w:val="000000"/>
                <w:sz w:val="10"/>
              </w:rPr>
              <w:t>(1)</w:t>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2,312 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1,914 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4,423 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3,923 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8,404 </w:t>
            </w:r>
          </w:p>
        </w:tc>
        <w:tc>
          <w:tcPr>
            <w:tcW w:w="19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 xml:space="preserve">Non-GAAP Adjusted EBITDA </w:t>
            </w:r>
            <w:r>
              <w:rPr>
                <w:rFonts w:ascii="Times New Roman;serif" w:hAnsi="Times New Roman;serif"/>
                <w:b w:val="false"/>
                <w:color w:val="000000"/>
                <w:sz w:val="10"/>
              </w:rPr>
              <w:t>(2)</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2,829 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2,408 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5,521 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4,852 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10,633 </w:t>
            </w:r>
          </w:p>
        </w:tc>
        <w:tc>
          <w:tcPr>
            <w:tcW w:w="19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 xml:space="preserve">Non-GAAP Adjusted Cash flow from operations </w:t>
            </w:r>
            <w:r>
              <w:rPr>
                <w:rFonts w:ascii="Times New Roman;serif" w:hAnsi="Times New Roman;serif"/>
                <w:b w:val="false"/>
                <w:color w:val="000000"/>
                <w:sz w:val="10"/>
              </w:rPr>
              <w:t>(3)</w:t>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2,515 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2,111 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4,845 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4,222 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9,332 </w:t>
            </w:r>
          </w:p>
        </w:tc>
        <w:tc>
          <w:tcPr>
            <w:tcW w:w="19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 xml:space="preserve">Non-GAAP Adjusted Free Cash Flow </w:t>
            </w:r>
            <w:r>
              <w:rPr>
                <w:rFonts w:ascii="Times New Roman;serif" w:hAnsi="Times New Roman;serif"/>
                <w:b w:val="false"/>
                <w:color w:val="000000"/>
                <w:sz w:val="10"/>
              </w:rPr>
              <w:t>(3)</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1,341 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3,267 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1,867 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4,530 </w:t>
            </w:r>
          </w:p>
        </w:tc>
        <w:tc>
          <w:tcPr>
            <w:tcW w:w="19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Gross operating margin by segment:</w:t>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NGL Pipelines &amp; Services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5,892 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Crude Oil Pipelines &amp; Services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1,538 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Natural Gas Pipelines &amp; Services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1,836 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Petrochemical &amp; Refined Products Services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1,499 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 xml:space="preserve">Total segment gross operating margin </w:t>
            </w:r>
            <w:r>
              <w:rPr>
                <w:rFonts w:ascii="Times New Roman;serif" w:hAnsi="Times New Roman;serif"/>
                <w:b w:val="false"/>
                <w:color w:val="000000"/>
                <w:sz w:val="10"/>
              </w:rPr>
              <w:t>(4)</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10,765 </w:t>
            </w:r>
          </w:p>
        </w:tc>
        <w:tc>
          <w:tcPr>
            <w:tcW w:w="1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 xml:space="preserve">Net adjustment for shipper make-up rights </w:t>
            </w:r>
            <w:r>
              <w:rPr>
                <w:rFonts w:ascii="Times New Roman;serif" w:hAnsi="Times New Roman;serif"/>
                <w:b w:val="false"/>
                <w:color w:val="000000"/>
                <w:sz w:val="10"/>
              </w:rPr>
              <w:t>(5)</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 xml:space="preserve">Non-GAAP total gross operating margin </w:t>
            </w:r>
            <w:r>
              <w:rPr>
                <w:rFonts w:ascii="Times New Roman;serif" w:hAnsi="Times New Roman;serif"/>
                <w:b w:val="false"/>
                <w:color w:val="000000"/>
                <w:sz w:val="10"/>
              </w:rPr>
              <w:t>(6)</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2,991 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2,477 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5,615 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4,908 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10,737 </w:t>
            </w:r>
          </w:p>
        </w:tc>
        <w:tc>
          <w:tcPr>
            <w:tcW w:w="1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(1)See Exhibit E for reconciliation to GAAP net cash flow provided by operating activities.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(2)See Exhibit F for reconciliation to GAAP net cash flow provided by operating activities.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(3)See Exhibit D for reconciliation to GAAP net cash flow provided by operating activities.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(4)Within the context of this table, total segment gross operating margin represents a subtotal and corresponds to measures similarly titled within the financial statement footnotes provided in our quarterly and annual filings with the U.S. Securities and Exchange Commission (“SEC”).</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(5)Gross operating margin by segment for NGL Pipelines &amp; Services and Crude Oil Pipelines &amp; Services reflects adjustments for non-refundable deferred transportation revenues relating to the make-up rights of committed shippers on certain major pipeline projects. These adjustments are included in managements’ evaluation of segment results. However, these adjustments are excluded from non-GAAP total gross operating margin in compliance with guidance from the SEC.</w:t>
      </w:r>
    </w:p>
    <w:p>
      <w:pPr>
        <w:pStyle w:val="TextBody"/>
        <w:bidi w:val="0"/>
        <w:spacing w:lineRule="auto" w:line="288" w:before="0" w:after="2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(6)See Exhibit G for reconciliation to GAAP total operating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16840"/>
                <wp:effectExtent l="0" t="0" r="0" b="0"/>
                <wp:wrapNone/>
                <wp:docPr id="139" name="Frame13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5</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902"/>
        <w:gridCol w:w="1579"/>
        <w:gridCol w:w="1589"/>
        <w:gridCol w:w="221"/>
        <w:gridCol w:w="221"/>
        <w:gridCol w:w="179"/>
        <w:gridCol w:w="165"/>
        <w:gridCol w:w="165"/>
        <w:gridCol w:w="165"/>
        <w:gridCol w:w="221"/>
        <w:gridCol w:w="221"/>
        <w:gridCol w:w="179"/>
        <w:gridCol w:w="109"/>
        <w:gridCol w:w="109"/>
        <w:gridCol w:w="109"/>
        <w:gridCol w:w="214"/>
        <w:gridCol w:w="214"/>
        <w:gridCol w:w="173"/>
        <w:gridCol w:w="149"/>
        <w:gridCol w:w="149"/>
        <w:gridCol w:w="149"/>
        <w:gridCol w:w="214"/>
        <w:gridCol w:w="214"/>
        <w:gridCol w:w="173"/>
        <w:gridCol w:w="109"/>
        <w:gridCol w:w="109"/>
        <w:gridCol w:w="109"/>
        <w:gridCol w:w="318"/>
        <w:gridCol w:w="318"/>
        <w:gridCol w:w="459"/>
      </w:tblGrid>
      <w:tr>
        <w:trPr/>
        <w:tc>
          <w:tcPr>
            <w:tcW w:w="1902"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Enterprise Products Partners L.P.</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15"/>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Exhibit B</w:t>
            </w:r>
          </w:p>
        </w:tc>
      </w:tr>
      <w:tr>
        <w:trPr/>
        <w:tc>
          <w:tcPr>
            <w:tcW w:w="10205" w:type="dxa"/>
            <w:gridSpan w:val="30"/>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Selected Operating Data – UNAUDITED</w:t>
            </w:r>
          </w:p>
        </w:tc>
      </w:tr>
      <w:tr>
        <w:trPr/>
        <w:tc>
          <w:tcPr>
            <w:tcW w:w="5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Twelve</w:t>
              <w:br/>
              <w:t>Months Ended</w:t>
              <w:br/>
              <w:t>June 30,</w:t>
            </w:r>
          </w:p>
        </w:tc>
      </w:tr>
      <w:tr>
        <w:trPr/>
        <w:tc>
          <w:tcPr>
            <w:tcW w:w="5070" w:type="dxa"/>
            <w:gridSpan w:val="3"/>
            <w:vMerge w:val="continue"/>
            <w:tcBorders/>
            <w:tcMar>
              <w:top w:w="0" w:type="dxa"/>
              <w:left w:w="0" w:type="dxa"/>
              <w:bottom w:w="0" w:type="dxa"/>
              <w:right w:w="0" w:type="dxa"/>
            </w:tcMar>
            <w:vAlign w:val="center"/>
          </w:tcPr>
          <w:p>
            <w:pPr>
              <w:pStyle w:val="Normal"/>
              <w:bidi w:val="0"/>
              <w:jc w:val="left"/>
              <w:rPr/>
            </w:pPr>
            <w:r>
              <w:rPr/>
            </w:r>
          </w:p>
        </w:tc>
        <w:tc>
          <w:tcPr>
            <w:tcW w:w="6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507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u w:val="single"/>
              </w:rPr>
              <w:t>Selected operating data</w:t>
            </w:r>
            <w:r>
              <w:rPr>
                <w:rFonts w:ascii="Times New Roman;serif" w:hAnsi="Times New Roman;serif"/>
                <w:b w:val="false"/>
                <w:color w:val="000000"/>
                <w:sz w:val="16"/>
              </w:rPr>
              <w:t>:</w:t>
            </w:r>
            <w:r>
              <w:rPr>
                <w:rFonts w:ascii="Times New Roman;serif" w:hAnsi="Times New Roman;serif"/>
                <w:b w:val="false"/>
                <w:color w:val="000000"/>
                <w:sz w:val="10"/>
              </w:rPr>
              <w:t>(1)</w:t>
            </w:r>
          </w:p>
        </w:tc>
        <w:tc>
          <w:tcPr>
            <w:tcW w:w="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NGL Pipelines &amp; Services, net:</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NGL pipeline transportation volumes (MBPD)</w:t>
            </w:r>
          </w:p>
        </w:tc>
        <w:tc>
          <w:tcPr>
            <w:tcW w:w="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4,913</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4,894</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4,838</w:t>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NGL marine terminal volumes (MBPD)</w:t>
            </w:r>
          </w:p>
        </w:tc>
        <w:tc>
          <w:tcPr>
            <w:tcW w:w="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1,226</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1,162</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1,066</w:t>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NGL fractionation volumes (MBPD)</w:t>
            </w:r>
          </w:p>
        </w:tc>
        <w:tc>
          <w:tcPr>
            <w:tcW w:w="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1,858</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1,885</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1,819</w:t>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 xml:space="preserve">Equity NGL-equivalent production volumes (MBPD) </w:t>
            </w:r>
            <w:r>
              <w:rPr>
                <w:rFonts w:ascii="Times New Roman;serif" w:hAnsi="Times New Roman;serif"/>
                <w:b w:val="false"/>
                <w:color w:val="000000"/>
                <w:sz w:val="10"/>
              </w:rPr>
              <w:t>(2)</w:t>
            </w:r>
          </w:p>
        </w:tc>
        <w:tc>
          <w:tcPr>
            <w:tcW w:w="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230</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232</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229</w:t>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 xml:space="preserve">Fee-based natural gas processing volumes (MMcf/d) </w:t>
            </w:r>
            <w:r>
              <w:rPr>
                <w:rFonts w:ascii="Times New Roman;serif" w:hAnsi="Times New Roman;serif"/>
                <w:b w:val="false"/>
                <w:color w:val="000000"/>
                <w:sz w:val="10"/>
              </w:rPr>
              <w:t>(3,4)</w:t>
            </w:r>
          </w:p>
        </w:tc>
        <w:tc>
          <w:tcPr>
            <w:tcW w:w="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7,448</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7,463</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7,429</w:t>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 xml:space="preserve">Natural gas processing inlet volumes (MMcf/d) </w:t>
            </w:r>
            <w:r>
              <w:rPr>
                <w:rFonts w:ascii="Times New Roman;serif" w:hAnsi="Times New Roman;serif"/>
                <w:b w:val="false"/>
                <w:color w:val="000000"/>
                <w:sz w:val="10"/>
              </w:rPr>
              <w:t>(5)</w:t>
            </w:r>
          </w:p>
        </w:tc>
        <w:tc>
          <w:tcPr>
            <w:tcW w:w="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8,116</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8,184</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8,124</w:t>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Crude Oil Pipelines &amp; Services, net:</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Crude oil pipeline transportation volumes (MBPD)</w:t>
            </w:r>
          </w:p>
        </w:tc>
        <w:tc>
          <w:tcPr>
            <w:tcW w:w="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3,025</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2,837</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2,718</w:t>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Crude oil marine terminal volumes (MBPD)</w:t>
            </w:r>
          </w:p>
        </w:tc>
        <w:tc>
          <w:tcPr>
            <w:tcW w:w="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1,123</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995</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873</w:t>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Natural Gas Pipelines &amp; Services, net:</w:t>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 xml:space="preserve">Natural gas pipeline transportation volumes (BBtus/d) </w:t>
            </w:r>
            <w:r>
              <w:rPr>
                <w:rFonts w:ascii="Times New Roman;serif" w:hAnsi="Times New Roman;serif"/>
                <w:b w:val="false"/>
                <w:color w:val="000000"/>
                <w:sz w:val="10"/>
              </w:rPr>
              <w:t>(6)</w:t>
            </w:r>
          </w:p>
        </w:tc>
        <w:tc>
          <w:tcPr>
            <w:tcW w:w="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21,048</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20,405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21,109</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20,358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21,077</w:t>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Petrochemical &amp; Refined Products Services, net:</w:t>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Propylene production volumes (MBPD)</w:t>
            </w:r>
          </w:p>
        </w:tc>
        <w:tc>
          <w:tcPr>
            <w:tcW w:w="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134</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124</w:t>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Butane isomerization volumes (MBPD)</w:t>
            </w:r>
          </w:p>
        </w:tc>
        <w:tc>
          <w:tcPr>
            <w:tcW w:w="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121</w:t>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Standalone DIB processing volumes (MBPD)</w:t>
            </w:r>
          </w:p>
        </w:tc>
        <w:tc>
          <w:tcPr>
            <w:tcW w:w="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228</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223</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213</w:t>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pPr>
            <w:r>
              <w:rPr>
                <w:rFonts w:ascii="Times New Roman;serif" w:hAnsi="Times New Roman;serif"/>
                <w:b w:val="false"/>
                <w:color w:val="000000"/>
                <w:sz w:val="16"/>
              </w:rPr>
              <w:t xml:space="preserve">Octane enhancement and related plant sales volumes (MBPD) </w:t>
            </w:r>
            <w:r>
              <w:rPr>
                <w:rFonts w:ascii="Times New Roman;serif" w:hAnsi="Times New Roman;serif"/>
                <w:b w:val="false"/>
                <w:color w:val="000000"/>
                <w:sz w:val="10"/>
              </w:rPr>
              <w:t>(7)</w:t>
            </w:r>
          </w:p>
        </w:tc>
        <w:tc>
          <w:tcPr>
            <w:tcW w:w="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90"/>
              <w:jc w:val="right"/>
              <w:rPr>
                <w:rFonts w:ascii="Times New Roman;serif" w:hAnsi="Times New Roman;serif"/>
                <w:b w:val="false"/>
                <w:color w:val="000000"/>
                <w:sz w:val="16"/>
              </w:rPr>
            </w:pPr>
            <w:r>
              <w:rPr>
                <w:rFonts w:ascii="Times New Roman;serif" w:hAnsi="Times New Roman;serif"/>
                <w:b w:val="false"/>
                <w:color w:val="000000"/>
                <w:sz w:val="16"/>
              </w:rPr>
              <w:t>37</w:t>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Pipeline transportation volumes, primarily refined products and petrochemicals (MBPD)</w:t>
            </w:r>
          </w:p>
        </w:tc>
        <w:tc>
          <w:tcPr>
            <w:tcW w:w="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1,208</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1,151</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1,124</w:t>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pPr>
            <w:r>
              <w:rPr>
                <w:rFonts w:ascii="Times New Roman;serif" w:hAnsi="Times New Roman;serif"/>
                <w:b w:val="false"/>
                <w:color w:val="000000"/>
                <w:sz w:val="16"/>
              </w:rPr>
              <w:t xml:space="preserve">Refined products and petrochemicals marine terminal volumes (MBPD) </w:t>
            </w:r>
            <w:r>
              <w:rPr>
                <w:rFonts w:ascii="Times New Roman;serif" w:hAnsi="Times New Roman;serif"/>
                <w:b w:val="false"/>
                <w:color w:val="000000"/>
                <w:sz w:val="10"/>
              </w:rPr>
              <w:t>(8)</w:t>
            </w:r>
          </w:p>
        </w:tc>
        <w:tc>
          <w:tcPr>
            <w:tcW w:w="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422</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400</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371</w:t>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NGL, crude oil, petrochemical and refined products pipeline transportation volumes (MBPD)</w:t>
            </w:r>
          </w:p>
        </w:tc>
        <w:tc>
          <w:tcPr>
            <w:tcW w:w="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9,146</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8,882</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8,680</w:t>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Natural gas pipeline transportation volumes (BBtus/d)</w:t>
            </w:r>
          </w:p>
        </w:tc>
        <w:tc>
          <w:tcPr>
            <w:tcW w:w="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21,048</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20,405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21,109</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20,358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21,077</w:t>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 xml:space="preserve">Equivalent pipeline transportation volumes (MBPD) </w:t>
            </w:r>
            <w:r>
              <w:rPr>
                <w:rFonts w:ascii="Times New Roman;serif" w:hAnsi="Times New Roman;serif"/>
                <w:b w:val="false"/>
                <w:color w:val="000000"/>
                <w:sz w:val="10"/>
              </w:rPr>
              <w:t>(9)</w:t>
            </w:r>
          </w:p>
        </w:tc>
        <w:tc>
          <w:tcPr>
            <w:tcW w:w="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14,685</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13,562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14,437</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13,392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14,227</w:t>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NGL, crude oil, refined products and petrochemical marine terminal volumes (MBPD)</w:t>
            </w:r>
          </w:p>
        </w:tc>
        <w:tc>
          <w:tcPr>
            <w:tcW w:w="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2,771</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2,557</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2,310</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(1)Operating rates are calculated based on total volumes divided by the number of calendar days during the applicable period. Total volumes, which include volumes for newly constructed assets from the related in-service date and for recently purchased assets from the related acquisition date, reflect volumes for assets owned by consolidated entities on a 100% basis and volumes for assets owned by our unconsolidated affiliates net to our ownership interest.</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(2)Primarily represents the NGL and condensate volumes we earn and take title to in connection with our processing activities. The total equity NGL-equivalent production volumes also include residue natural gas volumes from our natural gas processing business.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(3)Volumes reported correspond to the revenue streams earned by our gas plants. “MMcf/d” means million cubic feet per day.</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(4)Fee-based natural gas processing volumes are measured at either the wellhead or plant inlet in MMcf/d.</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(5)Natural gas processing inlet volumes is an operational measure representing the physical, unprocessed rich natural gas passing through meters located at or near the inlet of our natural gas processing plants or at the wellhead for all natural gas processing facilities that we operate. Substantially all natural gas processing inlet volumes are processed under service contracts that are either fee-based, commodity-based or a combination of both. Natural gas processing inlet volumes are reflected in “Fee-based natural gas processing volumes” for volumes processed under fee-based service contracts, “Equity NGL-equivalent production volumes” for volumes processed under commodity-based service contracts or both of the aforementioned categories for volumes processed under service contracts that have both fee and commodity-based terms.</w:t>
      </w:r>
    </w:p>
    <w:p>
      <w:pPr>
        <w:pStyle w:val="TextBody"/>
        <w:bidi w:val="0"/>
        <w:spacing w:lineRule="auto" w:line="288" w:before="0" w:after="0"/>
        <w:ind w:left="0" w:right="0" w:hanging="360"/>
        <w:jc w:val="both"/>
        <w:rPr/>
      </w:pPr>
      <w:r>
        <w:rPr>
          <w:rFonts w:ascii="Times New Roman;serif" w:hAnsi="Times New Roman;serif"/>
          <w:b w:val="false"/>
          <w:color w:val="000000"/>
          <w:sz w:val="16"/>
        </w:rPr>
        <w:t>(6)</w:t>
      </w:r>
      <w:r>
        <w:rPr>
          <w:color w:val="000000"/>
        </w:rPr>
        <w:t>“</w:t>
      </w:r>
      <w:r>
        <w:rPr>
          <w:rFonts w:ascii="Times New Roman;serif" w:hAnsi="Times New Roman;serif"/>
          <w:b w:val="false"/>
          <w:color w:val="000000"/>
          <w:sz w:val="16"/>
        </w:rPr>
        <w:t>BBtus/d” means billion British thermal units per day.</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(7)Reflects aggregate sales volumes for our octane enhancement and isobutane dehydrogenation (“iBDH”) facilities located at our Mont Belvieu area complex and our high-purity isobutylene production facility located adjacent to the Houston Ship Channel.</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(8)In addition to exports of refined products, these amounts include loading volumes at our ethylene export terminal.</w:t>
      </w:r>
    </w:p>
    <w:p>
      <w:pPr>
        <w:pStyle w:val="TextBody"/>
        <w:bidi w:val="0"/>
        <w:spacing w:lineRule="auto" w:line="288" w:before="0" w:after="2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(9)Represents total NGL, crude oil, refined products and petrochemical transportation volumes plus equivalent energy volumes where 3.8 million British thermal units (“MMBtus”) of natural gas transportation volumes are equivalent to one barrel of NGLs transported.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16840"/>
                <wp:effectExtent l="0" t="0" r="0" b="0"/>
                <wp:wrapNone/>
                <wp:docPr id="140" name="Frame13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6</w:t>
                      </w:r>
                    </w:p>
                  </w:txbxContent>
                </v:textbox>
                <w10:wrap type="none"/>
              </v:rect>
            </w:pict>
          </mc:Fallback>
        </mc:AlternateContent>
      </w:r>
    </w:p>
    <w:tbl>
      <w:tblPr>
        <w:tblW w:w="5291" w:type="dxa"/>
        <w:jc w:val="left"/>
        <w:tblInd w:w="0" w:type="dxa"/>
        <w:tblLayout w:type="fixed"/>
        <w:tblCellMar>
          <w:top w:w="28" w:type="dxa"/>
          <w:left w:w="28" w:type="dxa"/>
          <w:bottom w:w="28" w:type="dxa"/>
          <w:right w:w="28" w:type="dxa"/>
        </w:tblCellMar>
      </w:tblPr>
      <w:tblGrid>
        <w:gridCol w:w="1492"/>
        <w:gridCol w:w="1311"/>
        <w:gridCol w:w="1321"/>
        <w:gridCol w:w="109"/>
        <w:gridCol w:w="109"/>
        <w:gridCol w:w="109"/>
        <w:gridCol w:w="246"/>
        <w:gridCol w:w="246"/>
        <w:gridCol w:w="348"/>
      </w:tblGrid>
      <w:tr>
        <w:trPr/>
        <w:tc>
          <w:tcPr>
            <w:tcW w:w="1492"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Enterprise Products Partners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Exhibit C</w:t>
            </w:r>
          </w:p>
        </w:tc>
      </w:tr>
      <w:tr>
        <w:trPr/>
        <w:tc>
          <w:tcPr>
            <w:tcW w:w="4124" w:type="dxa"/>
            <w:gridSpan w:val="3"/>
            <w:tcBorders>
              <w:bottom w:val="single" w:sz="12"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Selected Commodity Price Information – UNAUDITED</w:t>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618" w:type="dxa"/>
        <w:jc w:val="left"/>
        <w:tblInd w:w="0" w:type="dxa"/>
        <w:tblLayout w:type="fixed"/>
        <w:tblCellMar>
          <w:top w:w="28" w:type="dxa"/>
          <w:left w:w="28" w:type="dxa"/>
          <w:bottom w:w="28" w:type="dxa"/>
          <w:right w:w="28" w:type="dxa"/>
        </w:tblCellMar>
      </w:tblPr>
      <w:tblGrid>
        <w:gridCol w:w="495"/>
        <w:gridCol w:w="434"/>
        <w:gridCol w:w="436"/>
        <w:gridCol w:w="278"/>
        <w:gridCol w:w="278"/>
        <w:gridCol w:w="266"/>
        <w:gridCol w:w="278"/>
        <w:gridCol w:w="278"/>
        <w:gridCol w:w="231"/>
        <w:gridCol w:w="278"/>
        <w:gridCol w:w="278"/>
        <w:gridCol w:w="256"/>
        <w:gridCol w:w="278"/>
        <w:gridCol w:w="278"/>
        <w:gridCol w:w="231"/>
        <w:gridCol w:w="285"/>
        <w:gridCol w:w="285"/>
        <w:gridCol w:w="286"/>
        <w:gridCol w:w="278"/>
        <w:gridCol w:w="278"/>
        <w:gridCol w:w="261"/>
        <w:gridCol w:w="109"/>
        <w:gridCol w:w="109"/>
        <w:gridCol w:w="154"/>
      </w:tblGrid>
      <w:tr>
        <w:trPr/>
        <w:tc>
          <w:tcPr>
            <w:tcW w:w="49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bottom w:val="single" w:sz="12"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Natural</w:t>
              <w:br/>
              <w:t>Gas,</w:t>
              <w:br/>
              <w:t>$/MMBtu</w:t>
            </w:r>
          </w:p>
        </w:tc>
        <w:tc>
          <w:tcPr>
            <w:tcW w:w="787" w:type="dxa"/>
            <w:gridSpan w:val="3"/>
            <w:tcBorders>
              <w:bottom w:val="single" w:sz="12"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Ethane,</w:t>
              <w:br/>
              <w:t>$/gallon</w:t>
            </w:r>
          </w:p>
        </w:tc>
        <w:tc>
          <w:tcPr>
            <w:tcW w:w="812" w:type="dxa"/>
            <w:gridSpan w:val="3"/>
            <w:tcBorders>
              <w:bottom w:val="single" w:sz="12"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Propane,</w:t>
              <w:br/>
              <w:t>$/gallon</w:t>
            </w:r>
          </w:p>
        </w:tc>
        <w:tc>
          <w:tcPr>
            <w:tcW w:w="787" w:type="dxa"/>
            <w:gridSpan w:val="3"/>
            <w:tcBorders>
              <w:bottom w:val="single" w:sz="12"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Normal</w:t>
              <w:br/>
              <w:t>Butane,</w:t>
              <w:br/>
              <w:t>$/gallon</w:t>
            </w:r>
          </w:p>
        </w:tc>
        <w:tc>
          <w:tcPr>
            <w:tcW w:w="856" w:type="dxa"/>
            <w:gridSpan w:val="3"/>
            <w:tcBorders>
              <w:bottom w:val="single" w:sz="12"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Isobutane,</w:t>
              <w:br/>
              <w:t>$/gallon</w:t>
            </w:r>
          </w:p>
        </w:tc>
        <w:tc>
          <w:tcPr>
            <w:tcW w:w="817" w:type="dxa"/>
            <w:gridSpan w:val="3"/>
            <w:tcBorders>
              <w:bottom w:val="single" w:sz="12"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Natural</w:t>
              <w:br/>
              <w:t>Gasoline,</w:t>
              <w:br/>
              <w:t>$/gallon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787"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812"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787"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85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817"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2025 by quarter:</w:t>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1st Quarter</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$3.65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$0.27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$0.90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$1.53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2nd Quarter</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$3.44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$0.24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$0.78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$0.88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$0.93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$1.32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3rd Quarter</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$3.07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$0.23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$0.86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$0.92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4th Quarter</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$0.27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$0.62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$0.84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$0.88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$1.24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2025 Averages</w:t>
            </w:r>
          </w:p>
        </w:tc>
        <w:tc>
          <w:tcPr>
            <w:tcW w:w="556"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$3.43 </w:t>
            </w:r>
          </w:p>
        </w:tc>
        <w:tc>
          <w:tcPr>
            <w:tcW w:w="26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$0.25 </w:t>
            </w:r>
          </w:p>
        </w:tc>
        <w:tc>
          <w:tcPr>
            <w:tcW w:w="23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$0.75 </w:t>
            </w:r>
          </w:p>
        </w:tc>
        <w:tc>
          <w:tcPr>
            <w:tcW w:w="25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$0.91 </w:t>
            </w:r>
          </w:p>
        </w:tc>
        <w:tc>
          <w:tcPr>
            <w:tcW w:w="23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$0.95 </w:t>
            </w:r>
          </w:p>
        </w:tc>
        <w:tc>
          <w:tcPr>
            <w:tcW w:w="28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$1.35 </w:t>
            </w:r>
          </w:p>
        </w:tc>
        <w:tc>
          <w:tcPr>
            <w:tcW w:w="26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2026 by quarter:</w:t>
            </w:r>
          </w:p>
        </w:tc>
        <w:tc>
          <w:tcPr>
            <w:tcW w:w="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1st Quarter</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$0.23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$0.66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$0.88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$0.89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2nd Quarter</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$0.21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$0.78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$1.94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2026 Averages</w:t>
            </w:r>
          </w:p>
        </w:tc>
        <w:tc>
          <w:tcPr>
            <w:tcW w:w="556"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$3.98 </w:t>
            </w:r>
          </w:p>
        </w:tc>
        <w:tc>
          <w:tcPr>
            <w:tcW w:w="266"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$0.22 </w:t>
            </w:r>
          </w:p>
        </w:tc>
        <w:tc>
          <w:tcPr>
            <w:tcW w:w="231"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$0.72 </w:t>
            </w:r>
          </w:p>
        </w:tc>
        <w:tc>
          <w:tcPr>
            <w:tcW w:w="256"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$0.98 </w:t>
            </w:r>
          </w:p>
        </w:tc>
        <w:tc>
          <w:tcPr>
            <w:tcW w:w="231"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286"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$1.72 </w:t>
            </w:r>
          </w:p>
        </w:tc>
        <w:tc>
          <w:tcPr>
            <w:tcW w:w="261"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double" w:sz="8"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double" w:sz="8"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double" w:sz="8"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double" w:sz="8"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double" w:sz="8"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double" w:sz="8"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(1)Natural gas prices are based on Henry-Hub Inside FERC commercial index prices as reported by Platts, which is a division of S&amp;P Global, Inc.</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(2)NGL prices for ethane, propane, normal butane, isobutane and natural gasoline are based on Mont Belvieu Non-TET commercial index prices as reported by Oil Price Information Service, which is a division of Dow Jones.</w:t>
      </w:r>
    </w:p>
    <w:p>
      <w:pPr>
        <w:pStyle w:val="TextBody"/>
        <w:bidi w:val="0"/>
        <w:spacing w:before="0" w:after="0"/>
        <w:ind w:left="0" w:right="0" w:hanging="450"/>
        <w:jc w:val="both"/>
        <w:rPr/>
      </w:pPr>
      <w:r>
        <w:rPr/>
      </w:r>
    </w:p>
    <w:tbl>
      <w:tblPr>
        <w:tblW w:w="4265" w:type="dxa"/>
        <w:jc w:val="left"/>
        <w:tblInd w:w="0" w:type="dxa"/>
        <w:tblLayout w:type="fixed"/>
        <w:tblCellMar>
          <w:top w:w="28" w:type="dxa"/>
          <w:left w:w="28" w:type="dxa"/>
          <w:bottom w:w="28" w:type="dxa"/>
          <w:right w:w="28" w:type="dxa"/>
        </w:tblCellMar>
      </w:tblPr>
      <w:tblGrid>
        <w:gridCol w:w="495"/>
        <w:gridCol w:w="434"/>
        <w:gridCol w:w="436"/>
        <w:gridCol w:w="323"/>
        <w:gridCol w:w="323"/>
        <w:gridCol w:w="291"/>
        <w:gridCol w:w="323"/>
        <w:gridCol w:w="323"/>
        <w:gridCol w:w="291"/>
        <w:gridCol w:w="323"/>
        <w:gridCol w:w="323"/>
        <w:gridCol w:w="380"/>
      </w:tblGrid>
      <w:tr>
        <w:trPr/>
        <w:tc>
          <w:tcPr>
            <w:tcW w:w="49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bottom w:val="single" w:sz="12"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WTI</w:t>
              <w:br/>
              <w:t>Crude Oil,</w:t>
              <w:br/>
              <w:t>$/barrel</w:t>
            </w:r>
          </w:p>
        </w:tc>
        <w:tc>
          <w:tcPr>
            <w:tcW w:w="937" w:type="dxa"/>
            <w:gridSpan w:val="3"/>
            <w:tcBorders>
              <w:bottom w:val="single" w:sz="12"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Midland</w:t>
              <w:br/>
              <w:t>Crude Oil,</w:t>
              <w:br/>
              <w:t>$/barrel</w:t>
            </w:r>
          </w:p>
        </w:tc>
        <w:tc>
          <w:tcPr>
            <w:tcW w:w="1026" w:type="dxa"/>
            <w:gridSpan w:val="3"/>
            <w:tcBorders>
              <w:bottom w:val="single" w:sz="12"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Houston</w:t>
              <w:br/>
              <w:t>Crude Oil,</w:t>
              <w:br/>
              <w:t>$/barrel</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937"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102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r>
      <w:tr>
        <w:trPr/>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2025 by quarter:</w:t>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1st Quarter</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$71.42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$72.52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$72.81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2nd Quarter</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$63.87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$64.42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$64.65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3rd Quarter</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$64.93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$65.76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$66.09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4th Quarter</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$59.14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$59.77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$60.05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2025 Averages</w:t>
            </w:r>
          </w:p>
        </w:tc>
        <w:tc>
          <w:tcPr>
            <w:tcW w:w="646"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$64.84 </w:t>
            </w:r>
          </w:p>
        </w:tc>
        <w:tc>
          <w:tcPr>
            <w:tcW w:w="29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$65.62 </w:t>
            </w:r>
          </w:p>
        </w:tc>
        <w:tc>
          <w:tcPr>
            <w:tcW w:w="29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$65.90 </w:t>
            </w:r>
          </w:p>
        </w:tc>
        <w:tc>
          <w:tcPr>
            <w:tcW w:w="380"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2026 by quarter:</w:t>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1st Quarter</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$71.93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$73.97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$74.67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2nd Quarter</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$92.71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$94.61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$95.28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2026 Averages</w:t>
            </w:r>
          </w:p>
        </w:tc>
        <w:tc>
          <w:tcPr>
            <w:tcW w:w="646"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$82.32 </w:t>
            </w:r>
          </w:p>
        </w:tc>
        <w:tc>
          <w:tcPr>
            <w:tcW w:w="291"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$84.29 </w:t>
            </w:r>
          </w:p>
        </w:tc>
        <w:tc>
          <w:tcPr>
            <w:tcW w:w="291"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$84.98 </w:t>
            </w:r>
          </w:p>
        </w:tc>
        <w:tc>
          <w:tcPr>
            <w:tcW w:w="380"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(1)West Texas Intermediate (“WTI”) prices are based on commercial index prices at Cushing, Oklahoma as measured by the NYMEX.</w:t>
      </w:r>
    </w:p>
    <w:p>
      <w:pPr>
        <w:pStyle w:val="TextBody"/>
        <w:bidi w:val="0"/>
        <w:spacing w:lineRule="auto" w:line="288" w:before="0" w:after="2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(2)Midland and Houston crude oil prices are based on commercial index prices as reported by Argus.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weighted-average indicative market price for NGLs (based on prices for such products at Mont Belvieu, Texas, which is the primary industry hub for domestic NGL production) was $0.68 per gallon during the second quarter of 2026 versus $0.58 per gallon during the second quarter of 2025. Fluctuations in our consolidated revenues and cost of sales amounts are explained in large part by changes in energy commodity prices. An increase in our consolidated marketing revenues due to higher energy commodity sales prices may not result in an increase in gross operating margin or cash available for distribution, since our consolidated cost of sales amounts would also be expected to increase due to comparable increases in the purchase prices of the underlying energy commodities. The same type of relationship would be true in the case of lower energy commodity sales prices and purchase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16840"/>
                <wp:effectExtent l="0" t="0" r="0" b="0"/>
                <wp:wrapNone/>
                <wp:docPr id="141" name="Frame14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7</w:t>
                      </w:r>
                    </w:p>
                  </w:txbxContent>
                </v:textbox>
                <w10:wrap type="none"/>
              </v:rect>
            </w:pict>
          </mc:Fallback>
        </mc:AlternateContent>
      </w:r>
    </w:p>
    <w:tbl>
      <w:tblPr>
        <w:tblW w:w="7408" w:type="dxa"/>
        <w:jc w:val="left"/>
        <w:tblInd w:w="0" w:type="dxa"/>
        <w:tblLayout w:type="fixed"/>
        <w:tblCellMar>
          <w:top w:w="28" w:type="dxa"/>
          <w:left w:w="28" w:type="dxa"/>
          <w:bottom w:w="28" w:type="dxa"/>
          <w:right w:w="28" w:type="dxa"/>
        </w:tblCellMar>
      </w:tblPr>
      <w:tblGrid>
        <w:gridCol w:w="1588"/>
        <w:gridCol w:w="1396"/>
        <w:gridCol w:w="1406"/>
        <w:gridCol w:w="185"/>
        <w:gridCol w:w="185"/>
        <w:gridCol w:w="185"/>
        <w:gridCol w:w="185"/>
        <w:gridCol w:w="185"/>
        <w:gridCol w:w="185"/>
        <w:gridCol w:w="185"/>
        <w:gridCol w:w="185"/>
        <w:gridCol w:w="185"/>
        <w:gridCol w:w="109"/>
        <w:gridCol w:w="109"/>
        <w:gridCol w:w="109"/>
        <w:gridCol w:w="109"/>
        <w:gridCol w:w="109"/>
        <w:gridCol w:w="109"/>
        <w:gridCol w:w="109"/>
        <w:gridCol w:w="109"/>
        <w:gridCol w:w="109"/>
        <w:gridCol w:w="109"/>
        <w:gridCol w:w="109"/>
        <w:gridCol w:w="154"/>
      </w:tblGrid>
      <w:tr>
        <w:trPr/>
        <w:tc>
          <w:tcPr>
            <w:tcW w:w="1588"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Enterprise Products Partners L.P.</w:t>
            </w:r>
          </w:p>
        </w:tc>
        <w:tc>
          <w:tcPr>
            <w:tcW w:w="3018" w:type="dxa"/>
            <w:gridSpan w:val="21"/>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16"/>
              </w:rPr>
            </w:pPr>
            <w:r>
              <w:rPr>
                <w:rFonts w:ascii="Times New Roman;serif" w:hAnsi="Times New Roman;serif"/>
                <w:b/>
                <w:color w:val="000000"/>
                <w:sz w:val="16"/>
              </w:rPr>
              <w:t>Exhibit D</w:t>
            </w:r>
          </w:p>
        </w:tc>
      </w:tr>
      <w:tr>
        <w:trPr/>
        <w:tc>
          <w:tcPr>
            <w:tcW w:w="6055"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Adjusted cash flow from operations and Adjusted Free Cash Flow – UNAUDITED</w:t>
            </w:r>
          </w:p>
        </w:tc>
        <w:tc>
          <w:tcPr>
            <w:tcW w:w="135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1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176"/>
        <w:gridCol w:w="1770"/>
        <w:gridCol w:w="1787"/>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6"/>
      </w:tblGrid>
      <w:tr>
        <w:trPr/>
        <w:tc>
          <w:tcPr>
            <w:tcW w:w="2176"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3"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w:t>
              <w:br/>
              <w:t>Ended June 30,</w:t>
            </w:r>
          </w:p>
        </w:tc>
      </w:tr>
      <w:tr>
        <w:trPr/>
        <w:tc>
          <w:tcPr>
            <w:tcW w:w="5733" w:type="dxa"/>
            <w:gridSpan w:val="3"/>
            <w:vMerge w:val="continue"/>
            <w:tcBorders/>
            <w:tcMar>
              <w:top w:w="0" w:type="dxa"/>
              <w:left w:w="0" w:type="dxa"/>
              <w:bottom w:w="0" w:type="dxa"/>
              <w:right w:w="0" w:type="dxa"/>
            </w:tcMar>
            <w:vAlign w:val="center"/>
          </w:tcPr>
          <w:p>
            <w:pPr>
              <w:pStyle w:val="Normal"/>
              <w:bidi w:val="0"/>
              <w:jc w:val="left"/>
              <w:rPr/>
            </w:pPr>
            <w:r>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33" w:type="dxa"/>
            <w:gridSpan w:val="3"/>
            <w:tcBorders/>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color w:val="000000"/>
                <w:sz w:val="16"/>
                <w:u w:val="single"/>
              </w:rPr>
            </w:pPr>
            <w:r>
              <w:rPr>
                <w:rFonts w:ascii="Times New Roman;serif" w:hAnsi="Times New Roman;serif"/>
                <w:b/>
                <w:color w:val="000000"/>
                <w:sz w:val="16"/>
                <w:u w:val="single"/>
              </w:rPr>
              <w:t>Adjusted cash flow from operations (“Adjusted CFFO”) and Adjusted Free Cash Flow (“Adjusted FCF”)</w:t>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cash flow provided by operating activities (GAAP)</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Adjustments to reconcile net cash flow provided by operating activities to</w:t>
            </w:r>
          </w:p>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Adjusted CFFO and Adjusted FCF (addition or subtraction indicated by sign):</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effect of changes in operating accounts, as applicable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Adjusted CFFO (non-GAAP)</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4,222 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flow used in investing activities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(2,321)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contributions from noncontrolling interests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distributions paid to noncontrolling interests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Adjusted FCF (non-GAAP)</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1,867 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Twelve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vMerge w:val="continue"/>
            <w:tcBorders/>
            <w:tcMar>
              <w:top w:w="0" w:type="dxa"/>
              <w:left w:w="0" w:type="dxa"/>
              <w:bottom w:w="0" w:type="dxa"/>
              <w:right w:w="0" w:type="dxa"/>
            </w:tcMar>
            <w:vAlign w:val="center"/>
          </w:tcPr>
          <w:p>
            <w:pPr>
              <w:pStyle w:val="Normal"/>
              <w:bidi w:val="0"/>
              <w:jc w:val="left"/>
              <w:rPr/>
            </w:pPr>
            <w:r>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cash flow provided by operating activities (GAAP)</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Adjustments to reconcile net cash flow provided by operating activities to</w:t>
            </w:r>
          </w:p>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Adjusted CFFO and Adjusted FCF (addition or subtraction indicated by sign):</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effect of changes in operating accounts, as applicable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Adjusted CFFO (non-GAAP)</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flow used in investing activities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contributions from noncontrolling interests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distributions paid to noncontrolling interests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Adjusted FCF (non-GAAP)</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4,530 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3,146 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br/>
        <w:br/>
        <w:t>Adjusted CFFO is a non-GAAP measure that represents net cash flow provided by operating activities before the net effect of changes in operating accounts. We believe that it is important to consider this non-GAAP measure as it can often be a better way to measure the amount of cash generated from our operations that can be used to fund our capital investments or return value to our investors through cash distributions and buybacks, without regard for fluctuations caused by timing of when amounts earned or incurred were collected, received or paid from period to period.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Adjusted FCF is a non-GAAP measure that reflects cash generated from our operations, excluding the net effect of changes in operating accounts, after accounting for capital expenditures. We believe that Adjusted FCF is important to traditional investors since it reflects the amount of cash available for reducing debt, investing in additional capital projects and/or paying distributions, without regard for fluctuations caused by timing of when amounts earned or incurred were collected, received or paid from period to period. Since we partner with other companies to fund certain capital projects of our consolidated subsidiaries, our determination of Adjusted FCF appropriately reflects the amount of cash contributed from and distributed to noncontrolling interests.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16840"/>
                <wp:effectExtent l="0" t="0" r="0" b="0"/>
                <wp:wrapNone/>
                <wp:docPr id="142" name="Frame14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8</w:t>
                      </w:r>
                    </w:p>
                  </w:txbxContent>
                </v:textbox>
                <w10:wrap type="none"/>
              </v:rect>
            </w:pict>
          </mc:Fallback>
        </mc:AlternateContent>
      </w:r>
    </w:p>
    <w:tbl>
      <w:tblPr>
        <w:tblW w:w="6130" w:type="dxa"/>
        <w:jc w:val="left"/>
        <w:tblInd w:w="0" w:type="dxa"/>
        <w:tblLayout w:type="fixed"/>
        <w:tblCellMar>
          <w:top w:w="28" w:type="dxa"/>
          <w:left w:w="28" w:type="dxa"/>
          <w:bottom w:w="28" w:type="dxa"/>
          <w:right w:w="28" w:type="dxa"/>
        </w:tblCellMar>
      </w:tblPr>
      <w:tblGrid>
        <w:gridCol w:w="1028"/>
        <w:gridCol w:w="903"/>
        <w:gridCol w:w="91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69"/>
      </w:tblGrid>
      <w:tr>
        <w:trPr/>
        <w:tc>
          <w:tcPr>
            <w:tcW w:w="102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8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Enterprise Products Partners L.P.</w:t>
            </w:r>
          </w:p>
        </w:tc>
        <w:tc>
          <w:tcPr>
            <w:tcW w:w="3289" w:type="dxa"/>
            <w:gridSpan w:val="27"/>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16"/>
              </w:rPr>
            </w:pPr>
            <w:r>
              <w:rPr>
                <w:rFonts w:ascii="Times New Roman;serif" w:hAnsi="Times New Roman;serif"/>
                <w:b/>
                <w:color w:val="000000"/>
                <w:sz w:val="16"/>
              </w:rPr>
              <w:t>Exhibit E</w:t>
            </w:r>
          </w:p>
        </w:tc>
      </w:tr>
      <w:tr>
        <w:trPr/>
        <w:tc>
          <w:tcPr>
            <w:tcW w:w="6130" w:type="dxa"/>
            <w:gridSpan w:val="30"/>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Distributable Cash Flow and Operational Distributable Cash Flow – UNAUDITED</w:t>
            </w:r>
          </w:p>
        </w:tc>
      </w:tr>
      <w:tr>
        <w:trPr/>
        <w:tc>
          <w:tcPr>
            <w:tcW w:w="6130" w:type="dxa"/>
            <w:gridSpan w:val="30"/>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millions)</w:t>
            </w:r>
          </w:p>
        </w:tc>
      </w:tr>
    </w:tbl>
    <w:tbl>
      <w:tblPr>
        <w:tblW w:w="10205" w:type="dxa"/>
        <w:jc w:val="left"/>
        <w:tblInd w:w="0" w:type="dxa"/>
        <w:tblLayout w:type="fixed"/>
        <w:tblCellMar>
          <w:top w:w="28" w:type="dxa"/>
          <w:left w:w="28" w:type="dxa"/>
          <w:bottom w:w="28" w:type="dxa"/>
          <w:right w:w="28" w:type="dxa"/>
        </w:tblCellMar>
      </w:tblPr>
      <w:tblGrid>
        <w:gridCol w:w="1562"/>
        <w:gridCol w:w="1352"/>
        <w:gridCol w:w="1360"/>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54"/>
        <w:gridCol w:w="722"/>
        <w:gridCol w:w="203"/>
      </w:tblGrid>
      <w:tr>
        <w:trPr/>
        <w:tc>
          <w:tcPr>
            <w:tcW w:w="156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Twelve</w:t>
              <w:br/>
              <w:t>Months Ended</w:t>
              <w:br/>
              <w:t>June 30,</w:t>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4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Distributable Cash Flow (“DCF”) and Operational DCF</w:t>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income attributable to common unitholders (GAAP)</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6,304 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 xml:space="preserve">Adjustments to net income attributable to common unitholders </w:t>
            </w:r>
          </w:p>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to derive DCF (addition or subtraction indicated by sign):</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Depreciation, amortization and accretion expenses</w:t>
            </w:r>
            <w:r>
              <w:rPr>
                <w:color w:val="000000"/>
              </w:rPr>
              <w:t xml:space="preserve"> </w:t>
            </w:r>
            <w:r>
              <w:rPr>
                <w:rFonts w:ascii="Times New Roman;serif" w:hAnsi="Times New Roman;serif"/>
                <w:b w:val="false"/>
                <w:color w:val="000000"/>
                <w:sz w:val="10"/>
              </w:rPr>
              <w:t>(1)</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2,767 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distributions received from unconsolidated affiliates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 income of unconsolidated affiliates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(360)</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Asset impairment charges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market value of derivative instruments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 xml:space="preserve">Sustaining capital expenditures </w:t>
            </w:r>
            <w:r>
              <w:rPr>
                <w:rFonts w:ascii="Times New Roman;serif" w:hAnsi="Times New Roman;serif"/>
                <w:b w:val="false"/>
                <w:color w:val="000000"/>
                <w:sz w:val="10"/>
              </w:rPr>
              <w:t>(2)</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(746)</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Operational DCF (non-GAAP)</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8,404 </w:t>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asset sales and other matters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Monetization of interest rate derivative instruments accounted</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6"/>
              </w:rPr>
              <w:t>for as cash flow hedges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DCF (non-GAAP)</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9,070 </w:t>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Adjustments to reconcile DCF with net cash flow provided by operating</w:t>
            </w:r>
          </w:p>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activities (addition or subtraction indicated by sign):</w:t>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effect of changes in operating accounts, as applicable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(472)</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Sustaining capital expenditures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asset sales and other matters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(666)</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cash flow provided by operating activities (GAAP)</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3,181 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2,061 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4,650 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4,375 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8,860 </w:t>
            </w:r>
          </w:p>
        </w:tc>
        <w:tc>
          <w:tcPr>
            <w:tcW w:w="2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(1)Excludes amortization of finance lease right-of-use assets, which are a component of DCF.</w:t>
      </w:r>
    </w:p>
    <w:p>
      <w:pPr>
        <w:pStyle w:val="TextBody"/>
        <w:bidi w:val="0"/>
        <w:spacing w:lineRule="auto" w:line="288" w:before="0" w:after="2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(2)Sustaining capital expenditures are capital expenditures (as defined by GAAP) resulting from improvements to and major renewals of existing assets. Such expenditures serve to maintain existing operations but do not generate additional revenues.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DCF is an important non-GAAP liquidity measure for our common unitholders since it serves as an indicator of our success in providing a cash return on investment. Specifically, this liquidity measure indicates to investors whether or not we are generating cash flows at a level that can sustain or support an increase in our quarterly cash distributions. DCF is also a quantitative standard used by the investment community with respect to publicly traded partnerships because the value of a partnership unit is, in part, measured by its yield, which is based on the amount of cash distributions a partnership can pay to a common unitholder.</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Operational DCF, which is defined as DCF excluding the impact of proceeds from asset sales and other matters and monetization of interest rate derivative instruments, is a supplemental non-GAAP liquidity measure that quantifies the portion of cash available for distribution to common unitholders that was generated from our normal operations. We believe that it is important to consider this non-GAAP measure as it provides an enhanced perspective of our assets’ ability to generate cash flows without regard for certain items that do not reflect our core operations.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GAAP measure most directly comparable to DCF and Operational DCF is net cash flow provided by operating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16840"/>
                <wp:effectExtent l="0" t="0" r="0" b="0"/>
                <wp:wrapNone/>
                <wp:docPr id="143" name="Frame14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9</w:t>
                      </w:r>
                    </w:p>
                  </w:txbxContent>
                </v:textbox>
                <w10:wrap type="none"/>
              </v:rect>
            </w:pict>
          </mc:Fallback>
        </mc:AlternateContent>
      </w:r>
    </w:p>
    <w:tbl>
      <w:tblPr>
        <w:tblW w:w="5567" w:type="dxa"/>
        <w:jc w:val="left"/>
        <w:tblInd w:w="0" w:type="dxa"/>
        <w:tblLayout w:type="fixed"/>
        <w:tblCellMar>
          <w:top w:w="28" w:type="dxa"/>
          <w:left w:w="28" w:type="dxa"/>
          <w:bottom w:w="28" w:type="dxa"/>
          <w:right w:w="28" w:type="dxa"/>
        </w:tblCellMar>
      </w:tblPr>
      <w:tblGrid>
        <w:gridCol w:w="933"/>
        <w:gridCol w:w="820"/>
        <w:gridCol w:w="826"/>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93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Enterprise Products Partners L.P.</w:t>
            </w:r>
          </w:p>
        </w:tc>
        <w:tc>
          <w:tcPr>
            <w:tcW w:w="2988" w:type="dxa"/>
            <w:gridSpan w:val="27"/>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16"/>
              </w:rPr>
            </w:pPr>
            <w:r>
              <w:rPr>
                <w:rFonts w:ascii="Times New Roman;serif" w:hAnsi="Times New Roman;serif"/>
                <w:b/>
                <w:color w:val="000000"/>
                <w:sz w:val="16"/>
              </w:rPr>
              <w:t>Exhibit F</w:t>
            </w:r>
          </w:p>
        </w:tc>
      </w:tr>
      <w:tr>
        <w:trPr/>
        <w:tc>
          <w:tcPr>
            <w:tcW w:w="5567" w:type="dxa"/>
            <w:gridSpan w:val="30"/>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Adjusted EBITDA - UNAUDITED</w:t>
            </w:r>
          </w:p>
        </w:tc>
      </w:tr>
      <w:tr>
        <w:trPr/>
        <w:tc>
          <w:tcPr>
            <w:tcW w:w="5567" w:type="dxa"/>
            <w:gridSpan w:val="30"/>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millions)</w:t>
            </w:r>
          </w:p>
        </w:tc>
      </w:tr>
    </w:tbl>
    <w:tbl>
      <w:tblPr>
        <w:tblW w:w="10205" w:type="dxa"/>
        <w:jc w:val="left"/>
        <w:tblInd w:w="0" w:type="dxa"/>
        <w:tblLayout w:type="fixed"/>
        <w:tblCellMar>
          <w:top w:w="28" w:type="dxa"/>
          <w:left w:w="28" w:type="dxa"/>
          <w:bottom w:w="28" w:type="dxa"/>
          <w:right w:w="28" w:type="dxa"/>
        </w:tblCellMar>
      </w:tblPr>
      <w:tblGrid>
        <w:gridCol w:w="1612"/>
        <w:gridCol w:w="1326"/>
        <w:gridCol w:w="1338"/>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54"/>
        <w:gridCol w:w="721"/>
        <w:gridCol w:w="202"/>
      </w:tblGrid>
      <w:tr>
        <w:trPr/>
        <w:tc>
          <w:tcPr>
            <w:tcW w:w="1612"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427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Twelve</w:t>
              <w:br/>
              <w:t>Months Ended</w:t>
              <w:br/>
              <w:t>June 30,</w:t>
            </w:r>
          </w:p>
        </w:tc>
      </w:tr>
      <w:tr>
        <w:trPr/>
        <w:tc>
          <w:tcPr>
            <w:tcW w:w="4276" w:type="dxa"/>
            <w:gridSpan w:val="3"/>
            <w:vMerge w:val="continue"/>
            <w:tcBorders/>
            <w:tcMar>
              <w:top w:w="0" w:type="dxa"/>
              <w:left w:w="0" w:type="dxa"/>
              <w:bottom w:w="0" w:type="dxa"/>
              <w:right w:w="0" w:type="dxa"/>
            </w:tcMar>
            <w:vAlign w:val="center"/>
          </w:tcPr>
          <w:p>
            <w:pPr>
              <w:pStyle w:val="Normal"/>
              <w:bidi w:val="0"/>
              <w:jc w:val="left"/>
              <w:rPr/>
            </w:pPr>
            <w:r>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4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income (GAAP)</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6,368 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Adjustments to net income to derive Adjusted EBITDA</w:t>
            </w:r>
          </w:p>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(addition or subtraction indicated by sign):</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 xml:space="preserve">Depreciation, amortization and accretion in costs and expenses </w:t>
            </w:r>
            <w:r>
              <w:rPr>
                <w:rFonts w:ascii="Times New Roman;serif" w:hAnsi="Times New Roman;serif"/>
                <w:b w:val="false"/>
                <w:color w:val="000000"/>
                <w:sz w:val="10"/>
              </w:rPr>
              <w:t>(1)</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2,655 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including related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1,498 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distributions received from unconsolidated affiliates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 income of unconsolidated affiliates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(360)</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Asset impairment charges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market value of commodity derivative instruments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Adjusted EBITDA (non-GAAP)</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10,633 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Adjustments to reconcile Adjusted EBITDA to net cash flow provided by</w:t>
            </w:r>
          </w:p>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operating activities (addition or subtraction indicated by sign):</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4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including related amortization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(1,498)</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income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effect of changes in operating accounts, as applicable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(472)</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cash flow provided by operating activities (GAAP)</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3,181 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2,061 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4,650 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4,375 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8,860 </w:t>
            </w:r>
          </w:p>
        </w:tc>
        <w:tc>
          <w:tcPr>
            <w:tcW w:w="2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(1)Excludes amortization of major maintenance costs for reaction-based plants, which are a component of Adjusted EBITDA.</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Adjusted EBITDA is commonly used as a supplemental financial measure by our management and external users of our financial statements, such as investors, commercial banks, research analysts and rating agencies, to assess the financial performance of our assets without regard to financing methods, capital structures or historical cost basis; the ability of our assets to generate cash sufficient to pay interest and support our indebtedness; and the viability of projects and the overall rates of return on alternative investment opportunities.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Since Adjusted EBITDA excludes some, but not all, items that affect net income or loss and because these measures may vary among other companies, the Adjusted EBITDA data presented in this press release may not be comparable to similarly titled measures of other companies. The GAAP measure most directly comparable to Adjusted EBITDA is net cash flow provided by operating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16840"/>
                <wp:effectExtent l="0" t="0" r="0" b="0"/>
                <wp:wrapNone/>
                <wp:docPr id="144" name="Frame14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10</w:t>
                      </w:r>
                    </w:p>
                  </w:txbxContent>
                </v:textbox>
                <w10:wrap type="none"/>
              </v:rect>
            </w:pict>
          </mc:Fallback>
        </mc:AlternateContent>
      </w:r>
    </w:p>
    <w:tbl>
      <w:tblPr>
        <w:tblW w:w="381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250"/>
        <w:gridCol w:w="250"/>
        <w:gridCol w:w="3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2631" w:type="dxa"/>
            <w:gridSpan w:val="24"/>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Enterprise Products Partners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16"/>
              </w:rPr>
            </w:pPr>
            <w:r>
              <w:rPr>
                <w:rFonts w:ascii="Times New Roman;serif" w:hAnsi="Times New Roman;serif"/>
                <w:b/>
                <w:color w:val="000000"/>
                <w:sz w:val="16"/>
              </w:rPr>
              <w:t>Exhibit G</w:t>
            </w:r>
          </w:p>
        </w:tc>
      </w:tr>
      <w:tr>
        <w:trPr/>
        <w:tc>
          <w:tcPr>
            <w:tcW w:w="3812" w:type="dxa"/>
            <w:gridSpan w:val="30"/>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Gross Operating Margin – UNAUDITED</w:t>
            </w:r>
          </w:p>
        </w:tc>
      </w:tr>
      <w:tr>
        <w:trPr/>
        <w:tc>
          <w:tcPr>
            <w:tcW w:w="3812" w:type="dxa"/>
            <w:gridSpan w:val="30"/>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in millions)</w:t>
            </w:r>
          </w:p>
        </w:tc>
      </w:tr>
    </w:tbl>
    <w:tbl>
      <w:tblPr>
        <w:tblW w:w="10205" w:type="dxa"/>
        <w:jc w:val="left"/>
        <w:tblInd w:w="0" w:type="dxa"/>
        <w:tblLayout w:type="fixed"/>
        <w:tblCellMar>
          <w:top w:w="28" w:type="dxa"/>
          <w:left w:w="28" w:type="dxa"/>
          <w:bottom w:w="28" w:type="dxa"/>
          <w:right w:w="28" w:type="dxa"/>
        </w:tblCellMar>
      </w:tblPr>
      <w:tblGrid>
        <w:gridCol w:w="1580"/>
        <w:gridCol w:w="1353"/>
        <w:gridCol w:w="1362"/>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27"/>
        <w:gridCol w:w="750"/>
        <w:gridCol w:w="181"/>
      </w:tblGrid>
      <w:tr>
        <w:trPr/>
        <w:tc>
          <w:tcPr>
            <w:tcW w:w="1580"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4295"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Twelve</w:t>
              <w:br/>
              <w:t>Months Ended</w:t>
              <w:br/>
              <w:t>June 30,</w:t>
            </w:r>
          </w:p>
        </w:tc>
      </w:tr>
      <w:tr>
        <w:trPr/>
        <w:tc>
          <w:tcPr>
            <w:tcW w:w="4295" w:type="dxa"/>
            <w:gridSpan w:val="3"/>
            <w:vMerge w:val="continue"/>
            <w:tcBorders/>
            <w:tcMar>
              <w:top w:w="0" w:type="dxa"/>
              <w:left w:w="0" w:type="dxa"/>
              <w:bottom w:w="0" w:type="dxa"/>
              <w:right w:w="0" w:type="dxa"/>
            </w:tcMar>
            <w:vAlign w:val="center"/>
          </w:tcPr>
          <w:p>
            <w:pPr>
              <w:pStyle w:val="Normal"/>
              <w:bidi w:val="0"/>
              <w:jc w:val="left"/>
              <w:rPr/>
            </w:pPr>
            <w:r>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4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gross operating margin (non-GAAP)</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10,737 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Adjustments to reconcile total gross operating margin to total operating</w:t>
            </w:r>
          </w:p>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income (addition or subtraction indicated by sign):</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Depreciation, amortization and accretion expense in operating</w:t>
            </w:r>
          </w:p>
          <w:p>
            <w:pPr>
              <w:pStyle w:val="TableContents"/>
              <w:bidi w:val="0"/>
              <w:spacing w:lineRule="auto" w:line="288" w:before="0" w:after="0"/>
              <w:jc w:val="left"/>
              <w:rPr/>
            </w:pPr>
            <w:r>
              <w:rPr>
                <w:rFonts w:ascii="Times New Roman;serif" w:hAnsi="Times New Roman;serif"/>
                <w:b w:val="false"/>
                <w:color w:val="000000"/>
                <w:sz w:val="16"/>
              </w:rPr>
              <w:t xml:space="preserve">costs and expenses </w:t>
            </w:r>
            <w:r>
              <w:rPr>
                <w:rFonts w:ascii="Times New Roman;serif" w:hAnsi="Times New Roman;serif"/>
                <w:b w:val="false"/>
                <w:color w:val="000000"/>
                <w:sz w:val="10"/>
              </w:rPr>
              <w:t>(1)</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(2,592)</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Asset impairment charges in operating costs and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18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gains attributable to asset sales and related matters in operating costs and expenses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operating income (GAAP)</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2,249 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1,795 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4,144 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3,556 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7,854 </w:t>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(1)Excludes amortization of major maintenance costs for reaction-based plants and amortization of finance lease right-of-use assets, which are components of gross operating margin.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We evaluate segment performance based on our financial measure of gross operating margin. Gross operating margin is an important performance measure of the core profitability of our operations and forms the basis of our internal financial reporting. We believe that investors benefit from having access to the same financial measures that our management uses in evaluating segment results.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term “total gross operating margin” represents GAAP operating income exclusive of (i) depreciation, amortization and accretion expenses (excluding amortization of major maintenance costs for reaction-based plants and amortization of finance lease right-of-use assets), (ii) impairment charges, (iii) gains and losses attributable to asset sales and related matters, and (iv) general and administrative costs. Total gross operating margin includes equity in the earnings of unconsolidated affiliates, but is exclusive of other income and expense transactions, income taxes, the cumulative effect of changes in accounting principles and extraordinary charges. Total gross operating margin is presented on a 100 percent basis before any allocation of earnings to noncontrolling interests. The GAAP financial measure most directly comparable to total gross operating margin is operating income.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Total gross operating margin excludes amounts attributable to shipper make-up rights as described in footnote (5) to Exhibit A of this press release.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16840"/>
                <wp:effectExtent l="0" t="0" r="0" b="0"/>
                <wp:wrapNone/>
                <wp:docPr id="145" name="Frame14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11</w:t>
                      </w:r>
                    </w:p>
                  </w:txbxContent>
                </v:textbox>
                <w10:wrap type="none"/>
              </v:rect>
            </w:pict>
          </mc:Fallback>
        </mc:AlternateContent>
      </w:r>
    </w:p>
    <w:tbl>
      <w:tblPr>
        <w:tblW w:w="5567" w:type="dxa"/>
        <w:jc w:val="left"/>
        <w:tblInd w:w="0" w:type="dxa"/>
        <w:tblLayout w:type="fixed"/>
        <w:tblCellMar>
          <w:top w:w="28" w:type="dxa"/>
          <w:left w:w="28" w:type="dxa"/>
          <w:bottom w:w="28" w:type="dxa"/>
          <w:right w:w="28" w:type="dxa"/>
        </w:tblCellMar>
      </w:tblPr>
      <w:tblGrid>
        <w:gridCol w:w="933"/>
        <w:gridCol w:w="820"/>
        <w:gridCol w:w="826"/>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93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Enterprise Products Partners L.P.</w:t>
            </w:r>
          </w:p>
        </w:tc>
        <w:tc>
          <w:tcPr>
            <w:tcW w:w="2988" w:type="dxa"/>
            <w:gridSpan w:val="27"/>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16"/>
              </w:rPr>
            </w:pPr>
            <w:r>
              <w:rPr>
                <w:rFonts w:ascii="Times New Roman;serif" w:hAnsi="Times New Roman;serif"/>
                <w:b/>
                <w:color w:val="000000"/>
                <w:sz w:val="16"/>
              </w:rPr>
              <w:t>Exhibit H</w:t>
            </w:r>
          </w:p>
        </w:tc>
      </w:tr>
      <w:tr>
        <w:trPr/>
        <w:tc>
          <w:tcPr>
            <w:tcW w:w="5567" w:type="dxa"/>
            <w:gridSpan w:val="30"/>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Other Information – UNAUDITED</w:t>
            </w:r>
          </w:p>
        </w:tc>
      </w:tr>
      <w:tr>
        <w:trPr/>
        <w:tc>
          <w:tcPr>
            <w:tcW w:w="5567" w:type="dxa"/>
            <w:gridSpan w:val="30"/>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millions)</w:t>
            </w:r>
          </w:p>
        </w:tc>
      </w:tr>
    </w:tbl>
    <w:tbl>
      <w:tblPr>
        <w:tblW w:w="8845" w:type="dxa"/>
        <w:jc w:val="left"/>
        <w:tblInd w:w="0" w:type="dxa"/>
        <w:tblLayout w:type="fixed"/>
        <w:tblCellMar>
          <w:top w:w="28" w:type="dxa"/>
          <w:left w:w="28" w:type="dxa"/>
          <w:bottom w:w="28" w:type="dxa"/>
          <w:right w:w="28" w:type="dxa"/>
        </w:tblCellMar>
      </w:tblPr>
      <w:tblGrid>
        <w:gridCol w:w="1032"/>
        <w:gridCol w:w="906"/>
        <w:gridCol w:w="911"/>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69"/>
        <w:gridCol w:w="764"/>
        <w:gridCol w:w="211"/>
      </w:tblGrid>
      <w:tr>
        <w:trPr/>
        <w:tc>
          <w:tcPr>
            <w:tcW w:w="103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4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Twelve</w:t>
              <w:br/>
              <w:t>Months Ended</w:t>
              <w:br/>
              <w:t>June 30,</w:t>
            </w:r>
          </w:p>
        </w:tc>
      </w:tr>
      <w:tr>
        <w:trPr/>
        <w:tc>
          <w:tcPr>
            <w:tcW w:w="2849" w:type="dxa"/>
            <w:gridSpan w:val="3"/>
            <w:vMerge w:val="continue"/>
            <w:tcBorders/>
            <w:tcMar>
              <w:top w:w="0" w:type="dxa"/>
              <w:left w:w="0" w:type="dxa"/>
              <w:bottom w:w="0" w:type="dxa"/>
              <w:right w:w="0" w:type="dxa"/>
            </w:tcMar>
            <w:vAlign w:val="center"/>
          </w:tcPr>
          <w:p>
            <w:pPr>
              <w:pStyle w:val="Normal"/>
              <w:bidi w:val="0"/>
              <w:jc w:val="left"/>
              <w:rPr/>
            </w:pPr>
            <w:r>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28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Capital investments:</w:t>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Capital expenditures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4,748 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Cash used for asset acquisitions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Investments in unconsolidated affiliates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investing activities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capital investments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1,305 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2,157 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2,371 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5,433 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br/>
        <w:br/>
        <w:t>The following table summarizes the mark-to-market gains (losses) for the periods indicated:</w:t>
      </w:r>
    </w:p>
    <w:tbl>
      <w:tblPr>
        <w:tblW w:w="9402" w:type="dxa"/>
        <w:jc w:val="left"/>
        <w:tblInd w:w="0" w:type="dxa"/>
        <w:tblLayout w:type="fixed"/>
        <w:tblCellMar>
          <w:top w:w="28" w:type="dxa"/>
          <w:left w:w="28" w:type="dxa"/>
          <w:bottom w:w="28" w:type="dxa"/>
          <w:right w:w="28" w:type="dxa"/>
        </w:tblCellMar>
      </w:tblPr>
      <w:tblGrid>
        <w:gridCol w:w="1473"/>
        <w:gridCol w:w="1294"/>
        <w:gridCol w:w="1298"/>
        <w:gridCol w:w="196"/>
        <w:gridCol w:w="421"/>
        <w:gridCol w:w="109"/>
        <w:gridCol w:w="109"/>
        <w:gridCol w:w="109"/>
        <w:gridCol w:w="109"/>
        <w:gridCol w:w="196"/>
        <w:gridCol w:w="406"/>
        <w:gridCol w:w="109"/>
        <w:gridCol w:w="109"/>
        <w:gridCol w:w="109"/>
        <w:gridCol w:w="109"/>
        <w:gridCol w:w="196"/>
        <w:gridCol w:w="331"/>
        <w:gridCol w:w="109"/>
        <w:gridCol w:w="109"/>
        <w:gridCol w:w="109"/>
        <w:gridCol w:w="109"/>
        <w:gridCol w:w="196"/>
        <w:gridCol w:w="406"/>
        <w:gridCol w:w="109"/>
        <w:gridCol w:w="109"/>
        <w:gridCol w:w="109"/>
        <w:gridCol w:w="109"/>
        <w:gridCol w:w="357"/>
        <w:gridCol w:w="604"/>
        <w:gridCol w:w="284"/>
      </w:tblGrid>
      <w:tr>
        <w:trPr/>
        <w:tc>
          <w:tcPr>
            <w:tcW w:w="1473"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4065"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Twelve</w:t>
              <w:br/>
              <w:t>Months Ended</w:t>
              <w:br/>
              <w:t>June 30,</w:t>
            </w:r>
          </w:p>
        </w:tc>
      </w:tr>
      <w:tr>
        <w:trPr/>
        <w:tc>
          <w:tcPr>
            <w:tcW w:w="4065" w:type="dxa"/>
            <w:gridSpan w:val="3"/>
            <w:vMerge w:val="continue"/>
            <w:tcBorders/>
            <w:tcMar>
              <w:top w:w="0" w:type="dxa"/>
              <w:left w:w="0" w:type="dxa"/>
              <w:bottom w:w="0" w:type="dxa"/>
              <w:right w:w="0" w:type="dxa"/>
            </w:tcMar>
            <w:vAlign w:val="center"/>
          </w:tcPr>
          <w:p>
            <w:pPr>
              <w:pStyle w:val="Normal"/>
              <w:bidi w:val="0"/>
              <w:jc w:val="left"/>
              <w:rPr/>
            </w:pPr>
            <w:r>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Mark-to-market gains (losses) in gross operating margin:</w:t>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NGL Pipelines &amp; Services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Crude Oil Pipelines &amp; Services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Natural Gas Pipelines &amp; Services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Petrochemical &amp; Refined Products Services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mark-to-market impact on gross operating margin</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2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16840"/>
                <wp:effectExtent l="0" t="0" r="0" b="0"/>
                <wp:wrapNone/>
                <wp:docPr id="146" name="Frame14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12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142</Pages>
  <Words>58572</Words>
  <Characters>311549</Characters>
  <CharactersWithSpaces>370796</CharactersWithSpaces>
  <Paragraphs>2619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