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2"/>
          <w:szCs w:val="42"/>
          <w:b w:val="1"/>
          <w:bCs w:val="1"/>
          <w:color w:val="auto"/>
        </w:rPr>
        <w:t>ENTERPRISE PRODUCTS PARTNERS L.P.</w:t>
      </w:r>
    </w:p>
    <w:p>
      <w:pPr>
        <w:spacing w:after="0" w:line="7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1-14323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76-0568219</w:t>
      </w:r>
    </w:p>
    <w:p>
      <w:pPr>
        <w:spacing w:after="0" w:line="24" w:lineRule="exact"/>
        <w:rPr>
          <w:sz w:val="24"/>
          <w:szCs w:val="24"/>
          <w:color w:val="auto"/>
        </w:rPr>
      </w:pPr>
    </w:p>
    <w:p>
      <w:pPr>
        <w:sectPr>
          <w:pgSz w:w="11900" w:h="16838" w:orient="portrait"/>
          <w:cols w:equalWidth="0" w:num="3">
            <w:col w:w="4604" w:space="720"/>
            <w:col w:w="27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1100 Louisiana, 10th Floor</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Houston, Texas 77002</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6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(713) 381-6500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Exchange Act of 1934:</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Common Units</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EPD</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364-Day Revolving Credit Agreement</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On March 27, 2026, Enterprise Products Operating LLC, a Texas limited liability company (“EPO”) and the operating subsidiary of Enterprise Products Partners L.P., a Delaware limited partnership (the “Partnership”), entered into a 364-Day Revolving Credit Agreement among EPO, as Borrower, the Lenders party thereto, Citibank, N.A., as Administrative Agent, and certain financial institutions named therein, as Co-Syndication Agents and Co-Documentation Agents (the “364-Day Credit Agreement”). Under the terms of the 364-Day Credit Agreement, EPO may borrow up to</w:t>
      </w:r>
    </w:p>
    <w:p>
      <w:pPr>
        <w:spacing w:after="0" w:line="3"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$1.5 billion (which may be increased by up to $200 million to $1.7 billion at EPO’s election, provided certain conditions are met) at a variable interest rate for a term of 364 days, subject to the terms and conditions set forth therein.</w:t>
      </w:r>
    </w:p>
    <w:p>
      <w:pPr>
        <w:spacing w:after="0" w:line="181"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The 364-Day Credit Agreement replaces EPO’s existing 364-Day Revolving Credit Agreement, dated as of March 28, 2025, among EPO, the Lenders party thereto, Citibank N.A., as Administrative Agent, and certain financial institutions named therein, as Co-Syndication Agents and Co-Documentation Agents (which provided for a borrowing capacity up to $1.5 billion and had a maturity date of March 27, 2026). EPO may use the proceeds from loans under the 364-Day Credit Agreement for working capital, capital expenditures, acquisitions and other company purposes.</w:t>
      </w:r>
    </w:p>
    <w:p>
      <w:pPr>
        <w:spacing w:after="0" w:line="180" w:lineRule="exact"/>
        <w:rPr>
          <w:sz w:val="20"/>
          <w:szCs w:val="20"/>
          <w:color w:val="auto"/>
        </w:rPr>
      </w:pPr>
    </w:p>
    <w:p>
      <w:pPr>
        <w:ind w:right="540" w:firstLine="440"/>
        <w:spacing w:after="0" w:line="261" w:lineRule="auto"/>
        <w:rPr>
          <w:sz w:val="20"/>
          <w:szCs w:val="20"/>
          <w:color w:val="auto"/>
        </w:rPr>
      </w:pPr>
      <w:r>
        <w:rPr>
          <w:rFonts w:ascii="Times New Roman" w:cs="Times New Roman" w:eastAsia="Times New Roman" w:hAnsi="Times New Roman"/>
          <w:sz w:val="18"/>
          <w:szCs w:val="18"/>
          <w:color w:val="auto"/>
        </w:rPr>
        <w:t>EPO’s obligations under the 364-Day Credit Agreement are not secured by any collateral; however, they are guaranteed by the Partnership pursuant to a Guaranty Agreement (the “364-Day Guaranty Agreement”). Amounts borrowed under the 364-Day Credit Agreement mature on March 26, 2027, although EPO may, between 15 and 60 days prior to the maturity date, elect to have the entire principal balance then outstanding continued as non-revolving term loans for a period of one additional year, payable on March 26, 2028.</w:t>
      </w:r>
    </w:p>
    <w:p>
      <w:pPr>
        <w:spacing w:after="0" w:line="180"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In addition to interest payments on outstanding borrowings, on a quarterly basis, EPO is required to pay a facility fee on each lender’s commitment irrespective of commitment usage. The facility fee amount and the applicable rate spread for loans under the 364-Day Credit Agreement will vary based on EPO’s senior debt credit rating.</w:t>
      </w:r>
    </w:p>
    <w:p>
      <w:pPr>
        <w:spacing w:after="0" w:line="176"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The 364-Day Credit Agreement contains customary representations, warranties, covenants (affirmative and negative) and events of default, the occurrence of which would permit the lenders to accelerate the maturity date of amounts borrowed under the 364-Day Credit Agreement. The 364-Day Credit Agreement also restricts EPO’s ability to pay cash distributions to the Partnership if an event of default (as defined in the 364-Day Credit Agreement) has occurred and is continuing at the time such distribution is scheduled to be paid or would result therefrom.</w:t>
      </w:r>
    </w:p>
    <w:p>
      <w:pPr>
        <w:spacing w:after="0" w:line="180"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The descriptions of the 364-Day Credit Agreement and the 364-Day Guaranty Agreement in this Item 1.01 are qualified in their entirety by reference to the full text of the 364-Day Credit Agreement and the 364-Day Guaranty Agreement, which are filed as Exhibits 10.1 and 10.2 hereto, respectively, and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On March 27, 2026, EPO entered into the 364-Day Credit Agreement. The information relating to the 364-Day Credit Agreement and related 364-Day Guaranty Agreement, as set forth under Item 1.01, is incorporated by reference into this Item 2.03. The 364-Day Credit Agreement is filed as Exhibit 10.1 hereto and the related 364-Day Guaranty Agreement is filed as Exhibit 10.2, and each is incorporated herein by reference.</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As of March 27, 2026, after giving effect to the transactions described in Item 1.01 above, EPO has no borrowings outstanding under its revolving credit facilities.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93" w:right="43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 Financial Statements and Exhibits.</w:t>
      </w:r>
    </w:p>
    <w:p>
      <w:pPr>
        <w:spacing w:after="0" w:line="135" w:lineRule="exact"/>
        <w:rPr>
          <w:sz w:val="20"/>
          <w:szCs w:val="20"/>
          <w:color w:val="auto"/>
        </w:rPr>
      </w:pPr>
    </w:p>
    <w:p>
      <w:pPr>
        <w:ind w:left="964" w:hanging="532"/>
        <w:spacing w:after="0"/>
        <w:tabs>
          <w:tab w:leader="none" w:pos="9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1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20" w:type="dxa"/>
            <w:vAlign w:val="bottom"/>
          </w:tcPr>
          <w:p>
            <w:pPr>
              <w:spacing w:after="0"/>
              <w:rPr>
                <w:sz w:val="24"/>
                <w:szCs w:val="24"/>
                <w:color w:val="auto"/>
              </w:rPr>
            </w:pPr>
          </w:p>
        </w:tc>
        <w:tc>
          <w:tcPr>
            <w:tcW w:w="95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364-Day Revolving Credit Agreement, dated as of March 27, 2026, by and among Enterprise Products Operating LLC, as Borrower,</w:t>
            </w:r>
          </w:p>
        </w:tc>
      </w:tr>
      <w:tr>
        <w:trPr>
          <w:trHeight w:val="196"/>
        </w:trPr>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5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the Lenders party thereto, Citibank, N.A., as Administrative Agent, and certain financial institutions named therein, as</w:t>
            </w:r>
          </w:p>
        </w:tc>
        <w:tc>
          <w:tcPr>
            <w:tcW w:w="1040" w:type="dxa"/>
            <w:vAlign w:val="bottom"/>
            <w:gridSpan w:val="2"/>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Co-Syndication Agents and Co-Documentation Agents.</w:t>
            </w:r>
          </w:p>
        </w:tc>
        <w:tc>
          <w:tcPr>
            <w:tcW w:w="5540" w:type="dxa"/>
            <w:vAlign w:val="bottom"/>
            <w:gridSpan w:val="5"/>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720" w:type="dxa"/>
            <w:vAlign w:val="bottom"/>
          </w:tcPr>
          <w:p>
            <w:pPr>
              <w:spacing w:after="0"/>
              <w:rPr>
                <w:sz w:val="24"/>
                <w:szCs w:val="24"/>
                <w:color w:val="auto"/>
              </w:rPr>
            </w:pPr>
          </w:p>
        </w:tc>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Guaranty Agreement, dated as of March 27, 2026, by Enterprise Products Partners L.P. in favor of Citibank, N.A., as administrative</w:t>
            </w:r>
          </w:p>
        </w:tc>
      </w:tr>
      <w:tr>
        <w:trPr>
          <w:trHeight w:val="196"/>
        </w:trPr>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agent.</w:t>
            </w:r>
          </w:p>
        </w:tc>
        <w:tc>
          <w:tcPr>
            <w:tcW w:w="9040" w:type="dxa"/>
            <w:vAlign w:val="bottom"/>
            <w:tcBorders>
              <w:top w:val="single" w:sz="8" w:color="0000EE"/>
            </w:tcBorders>
            <w:gridSpan w:val="5"/>
          </w:tcPr>
          <w:p>
            <w:pPr>
              <w:spacing w:after="0"/>
              <w:rPr>
                <w:sz w:val="17"/>
                <w:szCs w:val="17"/>
                <w:color w:val="auto"/>
              </w:rPr>
            </w:pPr>
          </w:p>
        </w:tc>
        <w:tc>
          <w:tcPr>
            <w:tcW w:w="80" w:type="dxa"/>
            <w:vAlign w:val="bottom"/>
          </w:tcPr>
          <w:p>
            <w:pPr>
              <w:spacing w:after="0"/>
              <w:rPr>
                <w:sz w:val="17"/>
                <w:szCs w:val="17"/>
                <w:color w:val="auto"/>
              </w:rPr>
            </w:pPr>
          </w:p>
        </w:tc>
      </w:tr>
    </w:tbl>
    <w:p>
      <w:pPr>
        <w:spacing w:after="0" w:line="117" w:lineRule="exact"/>
        <w:rPr>
          <w:sz w:val="20"/>
          <w:szCs w:val="20"/>
          <w:color w:val="auto"/>
        </w:rPr>
      </w:pPr>
    </w:p>
    <w:p>
      <w:pPr>
        <w:ind w:left="5464" w:right="3740" w:hanging="5464"/>
        <w:spacing w:after="0" w:line="877" w:lineRule="auto"/>
        <w:tabs>
          <w:tab w:leader="none" w:pos="144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3</w:t>
      </w:r>
    </w:p>
    <w:p>
      <w:pPr>
        <w:sectPr>
          <w:pgSz w:w="11900" w:h="16838" w:orient="portrait"/>
          <w:cols w:equalWidth="0" w:num="1">
            <w:col w:w="11004"/>
          </w:cols>
          <w:pgMar w:left="436" w:top="293" w:right="4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5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ENTERPRISE PRODUCTS PARTNERS L.P.</w:t>
            </w:r>
          </w:p>
        </w:tc>
      </w:tr>
      <w:tr>
        <w:trPr>
          <w:trHeight w:val="432"/>
        </w:trPr>
        <w:tc>
          <w:tcPr>
            <w:tcW w:w="3520" w:type="dxa"/>
            <w:vAlign w:val="bottom"/>
          </w:tcPr>
          <w:p>
            <w:pPr>
              <w:spacing w:after="0"/>
              <w:rPr>
                <w:sz w:val="24"/>
                <w:szCs w:val="24"/>
                <w:color w:val="auto"/>
              </w:rPr>
            </w:pP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Enterprise Products Holdings LLC, its General Partner</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2026</w:t>
            </w: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 Daniel Boss</w:t>
            </w:r>
          </w:p>
        </w:tc>
      </w:tr>
      <w:tr>
        <w:trPr>
          <w:trHeight w:val="203"/>
        </w:trPr>
        <w:tc>
          <w:tcPr>
            <w:tcW w:w="3520" w:type="dxa"/>
            <w:vAlign w:val="bottom"/>
          </w:tcPr>
          <w:p>
            <w:pPr>
              <w:spacing w:after="0"/>
              <w:rPr>
                <w:sz w:val="17"/>
                <w:szCs w:val="17"/>
                <w:color w:val="auto"/>
              </w:rPr>
            </w:pPr>
          </w:p>
        </w:tc>
        <w:tc>
          <w:tcPr>
            <w:tcW w:w="2640" w:type="dxa"/>
            <w:vAlign w:val="bottom"/>
          </w:tcPr>
          <w:p>
            <w:pPr>
              <w:ind w:left="2000"/>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R. Daniel Boss</w:t>
            </w:r>
          </w:p>
        </w:tc>
      </w:tr>
      <w:tr>
        <w:trPr>
          <w:trHeight w:val="216"/>
        </w:trPr>
        <w:tc>
          <w:tcPr>
            <w:tcW w:w="3520" w:type="dxa"/>
            <w:vAlign w:val="bottom"/>
          </w:tcPr>
          <w:p>
            <w:pPr>
              <w:spacing w:after="0"/>
              <w:rPr>
                <w:sz w:val="18"/>
                <w:szCs w:val="18"/>
                <w:color w:val="auto"/>
              </w:rPr>
            </w:pP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tc>
      </w:tr>
      <w:tr>
        <w:trPr>
          <w:trHeight w:val="236"/>
        </w:trPr>
        <w:tc>
          <w:tcPr>
            <w:tcW w:w="35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365"/>
        </w:trPr>
        <w:tc>
          <w:tcPr>
            <w:tcW w:w="3520" w:type="dxa"/>
            <w:vAlign w:val="bottom"/>
          </w:tcPr>
          <w:p>
            <w:pPr>
              <w:spacing w:after="0"/>
              <w:rPr>
                <w:sz w:val="24"/>
                <w:szCs w:val="24"/>
                <w:color w:val="auto"/>
              </w:rPr>
            </w:pPr>
          </w:p>
        </w:tc>
        <w:tc>
          <w:tcPr>
            <w:tcW w:w="26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4</w:t>
            </w:r>
          </w:p>
        </w:tc>
        <w:tc>
          <w:tcPr>
            <w:tcW w:w="4860" w:type="dxa"/>
            <w:vAlign w:val="bottom"/>
          </w:tcPr>
          <w:p>
            <w:pPr>
              <w:spacing w:after="0"/>
              <w:rPr>
                <w:sz w:val="24"/>
                <w:szCs w:val="24"/>
                <w:color w:val="auto"/>
              </w:rPr>
            </w:pP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10.1</w:t>
      </w:r>
    </w:p>
    <w:p>
      <w:pPr>
        <w:spacing w:after="0" w:line="200" w:lineRule="exact"/>
        <w:rPr>
          <w:sz w:val="20"/>
          <w:szCs w:val="20"/>
          <w:color w:val="auto"/>
        </w:rPr>
      </w:pPr>
    </w:p>
    <w:p>
      <w:pPr>
        <w:spacing w:after="0" w:line="24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364-DAY REVOLVING CREDIT AGREEMENT</w:t>
      </w:r>
    </w:p>
    <w:p>
      <w:pPr>
        <w:spacing w:after="0" w:line="22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dated as of</w:t>
      </w:r>
    </w:p>
    <w:p>
      <w:pPr>
        <w:spacing w:after="0" w:line="22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March 27, 2026</w:t>
      </w:r>
    </w:p>
    <w:p>
      <w:pPr>
        <w:spacing w:after="0" w:line="22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ENTERPRISE PRODUCTS OPERATING LLC,</w:t>
      </w:r>
    </w:p>
    <w:p>
      <w:pPr>
        <w:spacing w:after="0" w:line="2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as Borrower</w:t>
      </w:r>
    </w:p>
    <w:p>
      <w:pPr>
        <w:spacing w:after="0" w:line="20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The Lenders Party Hereto</w:t>
      </w:r>
    </w:p>
    <w:p>
      <w:pPr>
        <w:spacing w:after="0" w:line="22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color w:val="auto"/>
        </w:rPr>
        <w:t>WELLS FARGO BANK, NATIONAL ASSOCIATION, JPMORGAN CHASE BANK, N.A., MIZUHO BANK, LTD., MUFG BANK, LTD., and</w:t>
      </w:r>
    </w:p>
    <w:p>
      <w:pPr>
        <w:spacing w:after="0" w:line="3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TRUIST BANK,</w:t>
      </w:r>
    </w:p>
    <w:p>
      <w:pPr>
        <w:spacing w:after="0" w:line="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as Co-Syndication Agents</w:t>
      </w:r>
    </w:p>
    <w:p>
      <w:pPr>
        <w:spacing w:after="0" w:line="20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BARCLAYS BANK PLC, ROYAL BANK OF CANADA,</w:t>
      </w:r>
    </w:p>
    <w:p>
      <w:pPr>
        <w:spacing w:after="0" w:line="2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SUMITOMO MITSUI BANKING CORPORATION,</w:t>
      </w:r>
    </w:p>
    <w:p>
      <w:pPr>
        <w:spacing w:after="0" w:line="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THE BANK OF NOVA SCOTIA, HOUSTON BRANCH and</w:t>
      </w:r>
    </w:p>
    <w:p>
      <w:pPr>
        <w:spacing w:after="0" w:line="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THE TORONTO-DOMINION BANK, NEW YORK BRANCH,</w:t>
      </w:r>
    </w:p>
    <w:p>
      <w:pPr>
        <w:spacing w:after="0" w:line="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as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2605405</wp:posOffset>
            </wp:positionH>
            <wp:positionV relativeFrom="paragraph">
              <wp:posOffset>228600</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CITIBANK, N.A., WELLS FARGO SECURITIES, LLC,</w:t>
      </w:r>
    </w:p>
    <w:p>
      <w:pPr>
        <w:spacing w:after="0" w:line="2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BARCLAYS BANK PLC, JPMORGAN CHASE BANK, N.A., MIZUHO BANK, LTD.,</w:t>
      </w:r>
    </w:p>
    <w:p>
      <w:pPr>
        <w:spacing w:after="0" w:line="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MUFG BANK, LTD. RBC CAPITAL MARKETS,</w:t>
      </w:r>
    </w:p>
    <w:p>
      <w:pPr>
        <w:spacing w:after="0" w:line="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SUMITOMO MITSUI BANKING CORPORATION,</w:t>
      </w:r>
    </w:p>
    <w:p>
      <w:pPr>
        <w:spacing w:after="0" w:line="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TD SECURITIES (USA) LLC, THE BANK OF NOVA SCOTIA, and</w:t>
      </w:r>
    </w:p>
    <w:p>
      <w:pPr>
        <w:spacing w:after="0" w:line="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as Joint Lead Arrangers and Joint Bookrunners</w:t>
      </w:r>
    </w:p>
    <w:p>
      <w:pPr>
        <w:spacing w:after="0" w:line="20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$1,500,000,000 364-Day Revolving Credit Facility</w:t>
      </w:r>
    </w:p>
    <w:p>
      <w:pPr>
        <w:sectPr>
          <w:pgSz w:w="11900" w:h="16838" w:orient="portrait"/>
          <w:cols w:equalWidth="0" w:num="1">
            <w:col w:w="10780"/>
          </w:cols>
          <w:pgMar w:left="680" w:top="117"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p>
        </w:tc>
        <w:tc>
          <w:tcPr>
            <w:tcW w:w="676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TABLE OF CONTENTS</w:t>
            </w:r>
          </w:p>
        </w:tc>
        <w:tc>
          <w:tcPr>
            <w:tcW w:w="2320" w:type="dxa"/>
            <w:vAlign w:val="bottom"/>
          </w:tcPr>
          <w:p>
            <w:pPr>
              <w:spacing w:after="0"/>
              <w:rPr>
                <w:sz w:val="20"/>
                <w:szCs w:val="20"/>
                <w:color w:val="auto"/>
              </w:rPr>
            </w:pPr>
          </w:p>
        </w:tc>
      </w:tr>
      <w:tr>
        <w:trPr>
          <w:trHeight w:val="459"/>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676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Defined Terms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1.02.Classification of Loans and Borrowings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1.03.</w:t>
            </w:r>
          </w:p>
        </w:tc>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Terms Generally</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SECTION 1.04.Accounting Terms; GAAP</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1.05.</w:t>
            </w:r>
          </w:p>
        </w:tc>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1.06.</w:t>
            </w:r>
          </w:p>
        </w:tc>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Divisions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w w:val="99"/>
              </w:rPr>
              <w:t>ARTICLE II The Credits</w:t>
            </w:r>
          </w:p>
        </w:tc>
        <w:tc>
          <w:tcPr>
            <w:tcW w:w="676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0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2.01.</w:t>
            </w:r>
          </w:p>
        </w:tc>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SECTION 2.02.Loans and Borrowings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SECTION 2.03.Requests for Borrowings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2.04.</w:t>
            </w:r>
          </w:p>
        </w:tc>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Reserved</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2.05.</w:t>
            </w:r>
          </w:p>
        </w:tc>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Reserved</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2.06.</w:t>
            </w:r>
          </w:p>
        </w:tc>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Reserved</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2.07.Funding of Borrowings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2.08.</w:t>
            </w:r>
          </w:p>
        </w:tc>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Elections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SECTION 2.09.Termination and Reduction of Commitments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2.10.Repayment of Loans; Evidence of Debt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2.11.</w:t>
            </w:r>
          </w:p>
        </w:tc>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Prepayment of Loans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2.12.</w:t>
            </w:r>
          </w:p>
        </w:tc>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2.13.</w:t>
            </w:r>
          </w:p>
        </w:tc>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8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SECTION 2.14.Alternate Rate of Interest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8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SECTION 2.15.Illegality; Increased Costs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8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SECTION 2.16.Break Funding Payments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2.17.</w:t>
            </w:r>
          </w:p>
        </w:tc>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SECTION 2.18.Payments Generally; Pro Rata Treatment; Sharing of Set-offs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SECTION 2.19.Mitigation Obligations; Replacement of Lenders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2.20.</w:t>
            </w:r>
          </w:p>
        </w:tc>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Separateness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2.21.</w:t>
            </w:r>
          </w:p>
        </w:tc>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Defaulting Lenders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0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3.01.</w:t>
            </w:r>
          </w:p>
        </w:tc>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Organization; Powers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3.02.</w:t>
            </w:r>
          </w:p>
        </w:tc>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Authorization; Enforceability</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8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SECTION 3.03.Governmental Approvals; No Conflicts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3.04.</w:t>
            </w:r>
          </w:p>
        </w:tc>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Condition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SECTION 3.05.Litigation and Environmental Matters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3.06.Compliance with Laws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3.07.Investment Company Status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3.08.</w:t>
            </w:r>
          </w:p>
        </w:tc>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3.09.</w:t>
            </w:r>
          </w:p>
        </w:tc>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ERISA</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3.10.</w:t>
            </w:r>
          </w:p>
        </w:tc>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Disclosure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3.11.</w:t>
            </w:r>
          </w:p>
        </w:tc>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Reserved</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3.12.</w:t>
            </w:r>
          </w:p>
        </w:tc>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Margin Securities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8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SECTION 3.13.Anti-Corruption Laws; Sanctions Laws and Regulations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00"/>
          </w:cols>
          <w:pgMar w:left="440" w:top="270" w:right="5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w w:val="98"/>
              </w:rPr>
              <w:t>ARTICLE IV Conditions</w:t>
            </w:r>
          </w:p>
        </w:tc>
        <w:tc>
          <w:tcPr>
            <w:tcW w:w="72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0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4.01.</w:t>
            </w: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Date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4.02.</w:t>
            </w: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Each Credit Event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24"/>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Affirmative Covenants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06"/>
        </w:trPr>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5.01.Financial Statements and Other Information</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5.02.Notices of Material Events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SECTION 5.03.Existence; Conduct of Business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5.04.Maintenance of Properties; Insurance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SECTION 5.05.Books and Records; Inspection Rights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5.06.Compliance with Laws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5.07.</w:t>
            </w: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Use of Proceeds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5.08.</w:t>
            </w: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Matters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5.09.</w:t>
            </w: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ERISA Information</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4"/>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5.10.</w:t>
            </w: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24"/>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Negative Covenants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0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6.01.</w:t>
            </w: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Reserved</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6.02.</w:t>
            </w: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Liens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6.03.</w:t>
            </w: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Fundamental Changes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6.04.</w:t>
            </w: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Restriction</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6.05.</w:t>
            </w: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Payments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6.06.</w:t>
            </w: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Restrictive Agreements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4"/>
        </w:trPr>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SECTION 6.07.Financial Condition Covenants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24"/>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Events of Default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24"/>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The Administrative Agent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06"/>
        </w:trPr>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8.01.The Administrative Agent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4"/>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8.02.</w:t>
            </w: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Erroneous Payments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Miscellaneous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0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9.01.</w:t>
            </w: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9.02.</w:t>
            </w: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Waivers; Amendments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SECTION 9.03.Expenses; Indemnity; Damage Waiver</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9.04.Successors and Assigns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9.05.</w:t>
            </w: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Survival</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SECTION 9.06.Counterparts; Integration; Effectiveness; Electronic Execution</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9.07.</w:t>
            </w: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Severability</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9.08.</w:t>
            </w: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 of Setoff</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9.09.Governing Law; Jurisdiction; Consent to Service of Process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9.10.</w:t>
            </w: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Waiver of Jury Trial</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9.11.</w:t>
            </w: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Headings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9.12.</w:t>
            </w:r>
          </w:p>
        </w:tc>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Confidentiality</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SECTION 9.13.Interest Rate Limitation</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SECTION 9.14.Liability of Manager</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9.15.USA Patriot Act Notice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9.16.No Advisory or Fiduciary Responsibility</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9.17.Acknowledgement and Consent to Bail-In of Affected Financial Institutions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4"/>
        </w:trPr>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9.18.Certain ERISA Matters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00"/>
          </w:cols>
          <w:pgMar w:left="440" w:top="486" w:right="5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SCHEDULES:</w:t>
            </w:r>
          </w:p>
        </w:tc>
        <w:tc>
          <w:tcPr>
            <w:tcW w:w="6060" w:type="dxa"/>
            <w:vAlign w:val="bottom"/>
          </w:tcPr>
          <w:p>
            <w:pPr>
              <w:spacing w:after="0"/>
              <w:rPr>
                <w:sz w:val="17"/>
                <w:szCs w:val="17"/>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461"/>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2.01 —</w:t>
            </w: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Commitments</w:t>
            </w:r>
          </w:p>
        </w:tc>
      </w:tr>
      <w:tr>
        <w:trPr>
          <w:trHeight w:val="216"/>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3.05 —</w:t>
            </w: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Disclosed Matters</w:t>
            </w:r>
          </w:p>
        </w:tc>
      </w:tr>
      <w:tr>
        <w:trPr>
          <w:trHeight w:val="234"/>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6.06 —</w:t>
            </w: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Existing Restrictions</w:t>
            </w:r>
          </w:p>
        </w:tc>
      </w:tr>
      <w:tr>
        <w:trPr>
          <w:trHeight w:val="499"/>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EXHIBITS:</w:t>
            </w:r>
          </w:p>
        </w:tc>
        <w:tc>
          <w:tcPr>
            <w:tcW w:w="6060" w:type="dxa"/>
            <w:vAlign w:val="bottom"/>
          </w:tcPr>
          <w:p>
            <w:pPr>
              <w:spacing w:after="0"/>
              <w:rPr>
                <w:sz w:val="24"/>
                <w:szCs w:val="24"/>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461"/>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A —</w:t>
            </w: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Assignment and Assumption</w:t>
            </w:r>
          </w:p>
        </w:tc>
      </w:tr>
      <w:tr>
        <w:trPr>
          <w:trHeight w:val="216"/>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 —</w:t>
            </w: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Borrowing Request</w:t>
            </w:r>
          </w:p>
        </w:tc>
      </w:tr>
      <w:tr>
        <w:trPr>
          <w:trHeight w:val="216"/>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C —</w:t>
            </w: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Interest Election Request</w:t>
            </w:r>
          </w:p>
        </w:tc>
      </w:tr>
      <w:tr>
        <w:trPr>
          <w:trHeight w:val="216"/>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D-1 —</w:t>
            </w: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Form of Opinion of Christopher S. Wade, in-house counsel for Borrower and EPD</w:t>
            </w:r>
          </w:p>
        </w:tc>
      </w:tr>
      <w:tr>
        <w:trPr>
          <w:trHeight w:val="216"/>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D-2 —</w:t>
            </w: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Opinion of Willkie Farr &amp; Gallagher LLP,</w:t>
            </w:r>
          </w:p>
        </w:tc>
      </w:tr>
      <w:tr>
        <w:trPr>
          <w:trHeight w:val="216"/>
        </w:trPr>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Borrower’s and EPD’s Counsel</w:t>
            </w:r>
          </w:p>
        </w:tc>
      </w:tr>
      <w:tr>
        <w:trPr>
          <w:trHeight w:val="216"/>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E —</w:t>
            </w: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Compliance Certificate</w:t>
            </w:r>
          </w:p>
        </w:tc>
      </w:tr>
      <w:tr>
        <w:trPr>
          <w:trHeight w:val="216"/>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F —</w:t>
            </w: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Note</w:t>
            </w:r>
          </w:p>
        </w:tc>
      </w:tr>
      <w:tr>
        <w:trPr>
          <w:trHeight w:val="216"/>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G-1 —</w:t>
            </w: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U.S. Tax Compliance Certificate (Foreign Lenders; Not Partnerships)</w:t>
            </w:r>
          </w:p>
        </w:tc>
      </w:tr>
      <w:tr>
        <w:trPr>
          <w:trHeight w:val="216"/>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G-2 —</w:t>
            </w: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U.S. Tax Compliance Certificate (Foreign Participants; Not Partnerships)</w:t>
            </w:r>
          </w:p>
        </w:tc>
      </w:tr>
      <w:tr>
        <w:trPr>
          <w:trHeight w:val="216"/>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G-3 —</w:t>
            </w: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U.S. Tax Compliance Certificate (Foreign Participants; Partnerships)</w:t>
            </w:r>
          </w:p>
        </w:tc>
      </w:tr>
      <w:tr>
        <w:trPr>
          <w:trHeight w:val="234"/>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G-4 —</w:t>
            </w:r>
          </w:p>
        </w:tc>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U.S. Tax Compliance Certificate (Foreign Lenders; Partnerships)</w:t>
            </w:r>
          </w:p>
        </w:tc>
      </w:tr>
      <w:tr>
        <w:trPr>
          <w:trHeight w:val="364"/>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60" w:type="dxa"/>
            <w:vAlign w:val="bottom"/>
          </w:tcPr>
          <w:p>
            <w:pPr>
              <w:ind w:left="4120"/>
              <w:spacing w:after="0"/>
              <w:rPr>
                <w:sz w:val="20"/>
                <w:szCs w:val="20"/>
                <w:color w:val="auto"/>
              </w:rPr>
            </w:pPr>
            <w:r>
              <w:rPr>
                <w:rFonts w:ascii="Times New Roman" w:cs="Times New Roman" w:eastAsia="Times New Roman" w:hAnsi="Times New Roman"/>
                <w:sz w:val="18"/>
                <w:szCs w:val="18"/>
                <w:color w:val="auto"/>
              </w:rPr>
              <w:t>iii</w:t>
            </w:r>
          </w:p>
        </w:tc>
      </w:tr>
    </w:tbl>
    <w:p>
      <w:pPr>
        <w:ind w:left="4120"/>
        <w:spacing w:after="0"/>
        <w:rPr>
          <w:sz w:val="20"/>
          <w:szCs w:val="20"/>
          <w:color w:val="auto"/>
        </w:rPr>
        <w:sectPr>
          <w:pgSz w:w="11900" w:h="16838" w:orient="portrait"/>
          <w:cols w:equalWidth="0" w:num="1">
            <w:col w:w="10019"/>
          </w:cols>
          <w:pgMar w:left="4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8" w:name="page9"/>
    <w:bookmarkEnd w:id="8"/>
    <w:p>
      <w:pPr>
        <w:ind w:right="100" w:firstLine="4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364-DAY REVOLVING CREDIT AGREEMENT dated as of March 27, 2026, among ENTERPRISE PRODUCTS OPERATING LLC, a Texas limited liability company; the LENDERS party hereto; CITIBANK, N.A., as Administrative Agent; WELLS FARGO BANK, NATIONAL ASSOCIATION, JPMORGAN CHASE BANK, N.A., MIZUHO BANK, LTD., MUFG BANK, LTD. and TRUIST BANK, as Co-Syndication Agents,</w:t>
      </w:r>
    </w:p>
    <w:p>
      <w:pPr>
        <w:spacing w:after="0" w:line="2"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7"/>
          <w:szCs w:val="17"/>
          <w:color w:val="auto"/>
        </w:rPr>
        <w:t>BARCLAYS BANK PLC, ROYAL BANK OF CANADA, SUMITOMO MITSUI BANKING CORPORATION, THE BANK OF NOVA SCOTIA, HOUSTON BRANCH and THE TORONTO DOMINION BANK, NEW YORK BRANCH, as Co-Documentation Agents, and CITIBANK N.A.,</w:t>
      </w: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WELLS FARGO SECURITIES, LLC, BARCLAYS BANK PLC, JPMORGAN CHASE BANK, N.A., MIZUHO BANK, LTD., MUFG BANK, LTD., RBC CAPITAL MARKETS, SUMITOMO MITSUI BANKING CORPORATION, TD SECURITIES (USA) LLC, THE BANK OF NOVA SCOTIA, HOUSTON BRANCH and TRUIST SECURITIES, INC., as Joint Lead Arrangers and Joint Bookrunners.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In consideration of the mutual covenants and agreements contained herein and in consideration of the Loans which may hereafter be made by Lenders to Borrower and for other good and valuable consideration, the receipt and sufficiency of which are hereby acknowledged, the parties hereto agree as follows: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following terms have the meanings specified below:</w:t>
      </w:r>
    </w:p>
    <w:p>
      <w:pPr>
        <w:spacing w:after="0" w:line="225"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w:t>
      </w:r>
      <w:r>
        <w:rPr>
          <w:rFonts w:ascii="Times New Roman" w:cs="Times New Roman" w:eastAsia="Times New Roman" w:hAnsi="Times New Roman"/>
          <w:sz w:val="18"/>
          <w:szCs w:val="18"/>
          <w:color w:val="auto"/>
        </w:rPr>
        <w:t>”, when used in reference to any Loan or Borrowing, refers to a Loan, or Loans, in the case of a Borrowing, which bear interest at a rate determined by reference to the Alternate Base Rate.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means Citibank, N.A., in its capacity as administrative agent for the Lenders 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364-Day Revolving Credit Agreement of even date herewith, among Enterprise Products Operating LLC, a Texas limited liability company; the Lenders party hereto; Citibank, N.A., as Administrative Agent; and the Co-Syndication Agents and Co-Documentation Agents; as may be amended, extended, supplemented or otherwise modified from time to time.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0"/>
          </w:cols>
          <w:pgMar w:left="440" w:top="270" w:right="479" w:bottom="1440" w:gutter="0" w:footer="0" w:header="0"/>
        </w:sectPr>
      </w:pPr>
    </w:p>
    <w:bookmarkStart w:id="9" w:name="page10"/>
    <w:bookmarkEnd w:id="9"/>
    <w:p>
      <w:pPr>
        <w:ind w:right="40" w:firstLine="440"/>
        <w:spacing w:after="0" w:line="23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Alternate Base Rate</w:t>
      </w:r>
      <w:r>
        <w:rPr>
          <w:rFonts w:ascii="Times New Roman" w:cs="Times New Roman" w:eastAsia="Times New Roman" w:hAnsi="Times New Roman"/>
          <w:sz w:val="18"/>
          <w:szCs w:val="18"/>
          <w:color w:val="auto"/>
        </w:rPr>
        <w:t xml:space="preserve">” means, for any day, a rate per annum equal to the greatest of (a) the Prime Rate in effect on such day, (b) the Federal Funds Effective Rate in effect on such day plus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of 1%, and (c) Term SOFR for an Interest Period of one month in effect on such day (or if such day is not a Business Day, the immediately preceding Business Day) plus 1% (provided that clause (c) shall not be applicable during any period in which Term SOFR is unavailable or unascertainable). Any change in the Alternate Base Rate due to a change in the Prime Rate, the Federal Funds Effective Rate or Term SOFR shall be effective from and including the effective date of such change in the Prime Rate, the Federal Funds Effective Rate or Term SOFR, respectively.</w:t>
      </w:r>
    </w:p>
    <w:p>
      <w:pPr>
        <w:spacing w:after="0" w:line="201"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laws, rules, and regulations of any jurisdiction applicable to the Borrower or its Subsidiaries from time to time concerning or relating to bribery or corruption.</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xml:space="preserve">” means, with respect to any Lender, the percentage of the total Commitments represented by such Lender’s Commitment. If the Commitments have terminated or expired, the Applicable Percentages shall be determined based upon either (i) the Commitments most recently in effect, giving effect to any assignments or (ii) if the Loans have been converted to Term Loans pursuant to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 the percentage of the total Term Loans represented by such Lender’s Term Loan.</w:t>
      </w:r>
    </w:p>
    <w:p>
      <w:pPr>
        <w:spacing w:after="0" w:line="180"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means, for any day, with respect to any Loan, or with respect to the facility fees payable hereunder, as the case may be (subject to the immediately following paragraph of this defined term), the applicable rate per annum set forth below under the caption “SOFR Spread”, “ABR Spread” or “Facility Fee Rate”, as the case may be, based upon the ratings by Moody’s and/or S&amp;P, respectively, applicable on such date to the Index Debt:</w:t>
      </w:r>
    </w:p>
    <w:p>
      <w:pPr>
        <w:spacing w:after="0" w:line="188"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5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Index Debt Ratings:</w:t>
            </w:r>
          </w:p>
        </w:tc>
        <w:tc>
          <w:tcPr>
            <w:tcW w:w="1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(Moody’s/S&amp;P)</w:t>
            </w:r>
          </w:p>
        </w:tc>
        <w:tc>
          <w:tcPr>
            <w:tcW w:w="2700" w:type="dxa"/>
            <w:vAlign w:val="bottom"/>
            <w:gridSpan w:val="2"/>
          </w:tcPr>
          <w:p>
            <w:pPr>
              <w:jc w:val="center"/>
              <w:ind w:left="1714"/>
              <w:spacing w:after="0"/>
              <w:rPr>
                <w:sz w:val="20"/>
                <w:szCs w:val="20"/>
                <w:color w:val="auto"/>
              </w:rPr>
            </w:pPr>
            <w:r>
              <w:rPr>
                <w:rFonts w:ascii="Times New Roman" w:cs="Times New Roman" w:eastAsia="Times New Roman" w:hAnsi="Times New Roman"/>
                <w:sz w:val="14"/>
                <w:szCs w:val="14"/>
                <w:b w:val="1"/>
                <w:bCs w:val="1"/>
                <w:color w:val="auto"/>
              </w:rPr>
              <w:t>SOFR Spread</w:t>
            </w:r>
          </w:p>
        </w:tc>
        <w:tc>
          <w:tcPr>
            <w:tcW w:w="1360" w:type="dxa"/>
            <w:vAlign w:val="bottom"/>
            <w:gridSpan w:val="2"/>
          </w:tcPr>
          <w:p>
            <w:pPr>
              <w:jc w:val="center"/>
              <w:ind w:left="454"/>
              <w:spacing w:after="0"/>
              <w:rPr>
                <w:sz w:val="20"/>
                <w:szCs w:val="20"/>
                <w:color w:val="auto"/>
              </w:rPr>
            </w:pPr>
            <w:r>
              <w:rPr>
                <w:rFonts w:ascii="Times New Roman" w:cs="Times New Roman" w:eastAsia="Times New Roman" w:hAnsi="Times New Roman"/>
                <w:sz w:val="14"/>
                <w:szCs w:val="14"/>
                <w:b w:val="1"/>
                <w:bCs w:val="1"/>
                <w:color w:val="auto"/>
              </w:rPr>
              <w:t>ABR Spread</w:t>
            </w:r>
          </w:p>
        </w:tc>
        <w:tc>
          <w:tcPr>
            <w:tcW w:w="1620" w:type="dxa"/>
            <w:vAlign w:val="bottom"/>
            <w:gridSpan w:val="2"/>
          </w:tcPr>
          <w:p>
            <w:pPr>
              <w:jc w:val="center"/>
              <w:ind w:left="454"/>
              <w:spacing w:after="0"/>
              <w:rPr>
                <w:sz w:val="20"/>
                <w:szCs w:val="20"/>
                <w:color w:val="auto"/>
              </w:rPr>
            </w:pPr>
            <w:r>
              <w:rPr>
                <w:rFonts w:ascii="Times New Roman" w:cs="Times New Roman" w:eastAsia="Times New Roman" w:hAnsi="Times New Roman"/>
                <w:sz w:val="14"/>
                <w:szCs w:val="14"/>
                <w:b w:val="1"/>
                <w:bCs w:val="1"/>
                <w:color w:val="auto"/>
              </w:rPr>
              <w:t>Facility Fee Rate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40" w:type="dxa"/>
            <w:vAlign w:val="bottom"/>
            <w:tcBorders>
              <w:bottom w:val="single" w:sz="8" w:color="CCEEFF"/>
            </w:tcBorders>
            <w:shd w:val="clear" w:color="auto" w:fill="000000"/>
          </w:tcPr>
          <w:p>
            <w:pPr>
              <w:spacing w:after="0" w:line="20" w:lineRule="exact"/>
              <w:rPr>
                <w:sz w:val="1"/>
                <w:szCs w:val="1"/>
                <w:color w:val="auto"/>
              </w:rPr>
            </w:pPr>
          </w:p>
        </w:tc>
        <w:tc>
          <w:tcPr>
            <w:tcW w:w="120" w:type="dxa"/>
            <w:vAlign w:val="bottom"/>
            <w:tcBorders>
              <w:bottom w:val="single" w:sz="8" w:color="CCEEFF"/>
              <w:right w:val="single" w:sz="8" w:color="auto"/>
            </w:tcBorders>
            <w:shd w:val="clear" w:color="auto" w:fill="000000"/>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4"/>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auto"/>
              </w:rPr>
              <w:t>Category 1 &gt; A1/A+</w:t>
            </w:r>
          </w:p>
        </w:tc>
        <w:tc>
          <w:tcPr>
            <w:tcW w:w="1820" w:type="dxa"/>
            <w:vAlign w:val="bottom"/>
            <w:shd w:val="clear" w:color="auto" w:fill="CCEEFF"/>
          </w:tcPr>
          <w:p>
            <w:pPr>
              <w:spacing w:after="0"/>
              <w:rPr>
                <w:sz w:val="12"/>
                <w:szCs w:val="12"/>
                <w:color w:val="auto"/>
              </w:rPr>
            </w:pPr>
          </w:p>
        </w:tc>
        <w:tc>
          <w:tcPr>
            <w:tcW w:w="88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0.710%</w:t>
            </w:r>
          </w:p>
        </w:tc>
        <w:tc>
          <w:tcPr>
            <w:tcW w:w="58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0.000%</w:t>
            </w:r>
          </w:p>
        </w:tc>
        <w:tc>
          <w:tcPr>
            <w:tcW w:w="58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0.040%</w:t>
            </w: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vMerge w:val="restart"/>
          </w:tcPr>
          <w:p>
            <w:pPr>
              <w:spacing w:after="0"/>
              <w:rPr>
                <w:sz w:val="2"/>
                <w:szCs w:val="2"/>
                <w:color w:val="auto"/>
              </w:rPr>
            </w:pPr>
          </w:p>
        </w:tc>
        <w:tc>
          <w:tcPr>
            <w:tcW w:w="78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right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5"/>
              </w:rPr>
              <w:t>Category 2</w:t>
            </w:r>
          </w:p>
        </w:tc>
        <w:tc>
          <w:tcPr>
            <w:tcW w:w="40" w:type="dxa"/>
            <w:vAlign w:val="bottom"/>
          </w:tcPr>
          <w:p>
            <w:pPr>
              <w:spacing w:after="0"/>
              <w:rPr>
                <w:sz w:val="15"/>
                <w:szCs w:val="15"/>
                <w:color w:val="auto"/>
              </w:rPr>
            </w:pPr>
          </w:p>
        </w:tc>
        <w:tc>
          <w:tcPr>
            <w:tcW w:w="27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A2/A</w:t>
            </w:r>
          </w:p>
        </w:tc>
        <w:tc>
          <w:tcPr>
            <w:tcW w:w="2700" w:type="dxa"/>
            <w:vAlign w:val="bottom"/>
            <w:gridSpan w:val="2"/>
          </w:tcPr>
          <w:p>
            <w:pPr>
              <w:jc w:val="center"/>
              <w:ind w:left="1714"/>
              <w:spacing w:after="0" w:line="176" w:lineRule="exact"/>
              <w:rPr>
                <w:sz w:val="20"/>
                <w:szCs w:val="20"/>
                <w:color w:val="auto"/>
              </w:rPr>
            </w:pPr>
            <w:r>
              <w:rPr>
                <w:rFonts w:ascii="Times New Roman" w:cs="Times New Roman" w:eastAsia="Times New Roman" w:hAnsi="Times New Roman"/>
                <w:sz w:val="18"/>
                <w:szCs w:val="18"/>
                <w:color w:val="auto"/>
                <w:w w:val="97"/>
              </w:rPr>
              <w:t>0.815%</w:t>
            </w:r>
          </w:p>
        </w:tc>
        <w:tc>
          <w:tcPr>
            <w:tcW w:w="1360" w:type="dxa"/>
            <w:vAlign w:val="bottom"/>
            <w:gridSpan w:val="2"/>
          </w:tcPr>
          <w:p>
            <w:pPr>
              <w:jc w:val="center"/>
              <w:ind w:left="474"/>
              <w:spacing w:after="0" w:line="176" w:lineRule="exact"/>
              <w:rPr>
                <w:sz w:val="20"/>
                <w:szCs w:val="20"/>
                <w:color w:val="auto"/>
              </w:rPr>
            </w:pPr>
            <w:r>
              <w:rPr>
                <w:rFonts w:ascii="Times New Roman" w:cs="Times New Roman" w:eastAsia="Times New Roman" w:hAnsi="Times New Roman"/>
                <w:sz w:val="18"/>
                <w:szCs w:val="18"/>
                <w:color w:val="auto"/>
              </w:rPr>
              <w:t>0.000%</w:t>
            </w:r>
          </w:p>
        </w:tc>
        <w:tc>
          <w:tcPr>
            <w:tcW w:w="1620" w:type="dxa"/>
            <w:vAlign w:val="bottom"/>
            <w:gridSpan w:val="2"/>
          </w:tcPr>
          <w:p>
            <w:pPr>
              <w:jc w:val="center"/>
              <w:ind w:left="474"/>
              <w:spacing w:after="0" w:line="176" w:lineRule="exact"/>
              <w:rPr>
                <w:sz w:val="20"/>
                <w:szCs w:val="20"/>
                <w:color w:val="auto"/>
              </w:rPr>
            </w:pPr>
            <w:r>
              <w:rPr>
                <w:rFonts w:ascii="Times New Roman" w:cs="Times New Roman" w:eastAsia="Times New Roman" w:hAnsi="Times New Roman"/>
                <w:sz w:val="18"/>
                <w:szCs w:val="18"/>
                <w:color w:val="auto"/>
                <w:w w:val="97"/>
              </w:rPr>
              <w:t>0.060%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5"/>
              </w:rPr>
              <w:t>Category 3</w:t>
            </w:r>
          </w:p>
        </w:tc>
        <w:tc>
          <w:tcPr>
            <w:tcW w:w="40" w:type="dxa"/>
            <w:vAlign w:val="bottom"/>
            <w:tcBorders>
              <w:bottom w:val="single" w:sz="8" w:color="CCEEFF"/>
            </w:tcBorders>
            <w:shd w:val="clear" w:color="auto" w:fill="CCEEFF"/>
          </w:tcPr>
          <w:p>
            <w:pPr>
              <w:spacing w:after="0"/>
              <w:rPr>
                <w:sz w:val="17"/>
                <w:szCs w:val="17"/>
                <w:color w:val="auto"/>
              </w:rPr>
            </w:pPr>
          </w:p>
        </w:tc>
        <w:tc>
          <w:tcPr>
            <w:tcW w:w="27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A3/A-</w:t>
            </w:r>
          </w:p>
        </w:tc>
        <w:tc>
          <w:tcPr>
            <w:tcW w:w="2700" w:type="dxa"/>
            <w:vAlign w:val="bottom"/>
            <w:tcBorders>
              <w:bottom w:val="single" w:sz="8" w:color="CCEEFF"/>
            </w:tcBorders>
            <w:gridSpan w:val="2"/>
            <w:shd w:val="clear" w:color="auto" w:fill="CCEEFF"/>
          </w:tcPr>
          <w:p>
            <w:pPr>
              <w:jc w:val="center"/>
              <w:ind w:left="1714"/>
              <w:spacing w:after="0" w:line="176" w:lineRule="exact"/>
              <w:rPr>
                <w:sz w:val="20"/>
                <w:szCs w:val="20"/>
                <w:color w:val="auto"/>
              </w:rPr>
            </w:pPr>
            <w:r>
              <w:rPr>
                <w:rFonts w:ascii="Times New Roman" w:cs="Times New Roman" w:eastAsia="Times New Roman" w:hAnsi="Times New Roman"/>
                <w:sz w:val="18"/>
                <w:szCs w:val="18"/>
                <w:color w:val="auto"/>
                <w:w w:val="97"/>
              </w:rPr>
              <w:t>0.925%</w:t>
            </w:r>
          </w:p>
        </w:tc>
        <w:tc>
          <w:tcPr>
            <w:tcW w:w="1360" w:type="dxa"/>
            <w:vAlign w:val="bottom"/>
            <w:tcBorders>
              <w:bottom w:val="single" w:sz="8" w:color="CCEEFF"/>
            </w:tcBorders>
            <w:gridSpan w:val="2"/>
            <w:shd w:val="clear" w:color="auto" w:fill="CCEEFF"/>
          </w:tcPr>
          <w:p>
            <w:pPr>
              <w:jc w:val="center"/>
              <w:ind w:left="474"/>
              <w:spacing w:after="0" w:line="176" w:lineRule="exact"/>
              <w:rPr>
                <w:sz w:val="20"/>
                <w:szCs w:val="20"/>
                <w:color w:val="auto"/>
              </w:rPr>
            </w:pPr>
            <w:r>
              <w:rPr>
                <w:rFonts w:ascii="Times New Roman" w:cs="Times New Roman" w:eastAsia="Times New Roman" w:hAnsi="Times New Roman"/>
                <w:sz w:val="18"/>
                <w:szCs w:val="18"/>
                <w:color w:val="auto"/>
              </w:rPr>
              <w:t>0.000%</w:t>
            </w:r>
          </w:p>
        </w:tc>
        <w:tc>
          <w:tcPr>
            <w:tcW w:w="1620" w:type="dxa"/>
            <w:vAlign w:val="bottom"/>
            <w:tcBorders>
              <w:bottom w:val="single" w:sz="8" w:color="CCEEFF"/>
            </w:tcBorders>
            <w:gridSpan w:val="2"/>
            <w:shd w:val="clear" w:color="auto" w:fill="CCEEFF"/>
          </w:tcPr>
          <w:p>
            <w:pPr>
              <w:jc w:val="center"/>
              <w:ind w:left="474"/>
              <w:spacing w:after="0" w:line="176" w:lineRule="exact"/>
              <w:rPr>
                <w:sz w:val="20"/>
                <w:szCs w:val="20"/>
                <w:color w:val="auto"/>
              </w:rPr>
            </w:pPr>
            <w:r>
              <w:rPr>
                <w:rFonts w:ascii="Times New Roman" w:cs="Times New Roman" w:eastAsia="Times New Roman" w:hAnsi="Times New Roman"/>
                <w:sz w:val="18"/>
                <w:szCs w:val="18"/>
                <w:color w:val="auto"/>
                <w:w w:val="97"/>
              </w:rPr>
              <w:t>0.075%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Category 4</w:t>
            </w:r>
          </w:p>
        </w:tc>
        <w:tc>
          <w:tcPr>
            <w:tcW w:w="27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Baa1/BBB+</w:t>
            </w:r>
          </w:p>
        </w:tc>
        <w:tc>
          <w:tcPr>
            <w:tcW w:w="2700" w:type="dxa"/>
            <w:vAlign w:val="bottom"/>
            <w:gridSpan w:val="2"/>
          </w:tcPr>
          <w:p>
            <w:pPr>
              <w:jc w:val="center"/>
              <w:ind w:left="1714"/>
              <w:spacing w:after="0" w:line="176" w:lineRule="exact"/>
              <w:rPr>
                <w:sz w:val="20"/>
                <w:szCs w:val="20"/>
                <w:color w:val="auto"/>
              </w:rPr>
            </w:pPr>
            <w:r>
              <w:rPr>
                <w:rFonts w:ascii="Times New Roman" w:cs="Times New Roman" w:eastAsia="Times New Roman" w:hAnsi="Times New Roman"/>
                <w:sz w:val="18"/>
                <w:szCs w:val="18"/>
                <w:color w:val="auto"/>
                <w:w w:val="97"/>
              </w:rPr>
              <w:t>1.025%</w:t>
            </w:r>
          </w:p>
        </w:tc>
        <w:tc>
          <w:tcPr>
            <w:tcW w:w="1360" w:type="dxa"/>
            <w:vAlign w:val="bottom"/>
            <w:gridSpan w:val="2"/>
          </w:tcPr>
          <w:p>
            <w:pPr>
              <w:jc w:val="center"/>
              <w:ind w:left="474"/>
              <w:spacing w:after="0" w:line="176" w:lineRule="exact"/>
              <w:rPr>
                <w:sz w:val="20"/>
                <w:szCs w:val="20"/>
                <w:color w:val="auto"/>
              </w:rPr>
            </w:pPr>
            <w:r>
              <w:rPr>
                <w:rFonts w:ascii="Times New Roman" w:cs="Times New Roman" w:eastAsia="Times New Roman" w:hAnsi="Times New Roman"/>
                <w:sz w:val="18"/>
                <w:szCs w:val="18"/>
                <w:color w:val="auto"/>
              </w:rPr>
              <w:t>0.025%</w:t>
            </w:r>
          </w:p>
        </w:tc>
        <w:tc>
          <w:tcPr>
            <w:tcW w:w="1620" w:type="dxa"/>
            <w:vAlign w:val="bottom"/>
            <w:gridSpan w:val="2"/>
          </w:tcPr>
          <w:p>
            <w:pPr>
              <w:jc w:val="center"/>
              <w:ind w:left="474"/>
              <w:spacing w:after="0" w:line="176" w:lineRule="exact"/>
              <w:rPr>
                <w:sz w:val="20"/>
                <w:szCs w:val="20"/>
                <w:color w:val="auto"/>
              </w:rPr>
            </w:pPr>
            <w:r>
              <w:rPr>
                <w:rFonts w:ascii="Times New Roman" w:cs="Times New Roman" w:eastAsia="Times New Roman" w:hAnsi="Times New Roman"/>
                <w:sz w:val="18"/>
                <w:szCs w:val="18"/>
                <w:color w:val="auto"/>
                <w:w w:val="97"/>
              </w:rPr>
              <w:t>0.100%</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Category 5</w:t>
            </w:r>
          </w:p>
        </w:tc>
        <w:tc>
          <w:tcPr>
            <w:tcW w:w="27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&lt; Baa2/BBB</w:t>
            </w:r>
          </w:p>
        </w:tc>
        <w:tc>
          <w:tcPr>
            <w:tcW w:w="2700" w:type="dxa"/>
            <w:vAlign w:val="bottom"/>
            <w:gridSpan w:val="2"/>
            <w:shd w:val="clear" w:color="auto" w:fill="CCEEFF"/>
          </w:tcPr>
          <w:p>
            <w:pPr>
              <w:jc w:val="center"/>
              <w:ind w:left="1714"/>
              <w:spacing w:after="0" w:line="176" w:lineRule="exact"/>
              <w:rPr>
                <w:sz w:val="20"/>
                <w:szCs w:val="20"/>
                <w:color w:val="auto"/>
              </w:rPr>
            </w:pPr>
            <w:r>
              <w:rPr>
                <w:rFonts w:ascii="Times New Roman" w:cs="Times New Roman" w:eastAsia="Times New Roman" w:hAnsi="Times New Roman"/>
                <w:sz w:val="18"/>
                <w:szCs w:val="18"/>
                <w:color w:val="auto"/>
                <w:w w:val="97"/>
              </w:rPr>
              <w:t>1.125%</w:t>
            </w:r>
          </w:p>
        </w:tc>
        <w:tc>
          <w:tcPr>
            <w:tcW w:w="1360" w:type="dxa"/>
            <w:vAlign w:val="bottom"/>
            <w:gridSpan w:val="2"/>
            <w:shd w:val="clear" w:color="auto" w:fill="CCEEFF"/>
          </w:tcPr>
          <w:p>
            <w:pPr>
              <w:jc w:val="center"/>
              <w:ind w:left="474"/>
              <w:spacing w:after="0" w:line="176" w:lineRule="exact"/>
              <w:rPr>
                <w:sz w:val="20"/>
                <w:szCs w:val="20"/>
                <w:color w:val="auto"/>
              </w:rPr>
            </w:pPr>
            <w:r>
              <w:rPr>
                <w:rFonts w:ascii="Times New Roman" w:cs="Times New Roman" w:eastAsia="Times New Roman" w:hAnsi="Times New Roman"/>
                <w:sz w:val="18"/>
                <w:szCs w:val="18"/>
                <w:color w:val="auto"/>
              </w:rPr>
              <w:t>0.125%</w:t>
            </w:r>
          </w:p>
        </w:tc>
        <w:tc>
          <w:tcPr>
            <w:tcW w:w="1620" w:type="dxa"/>
            <w:vAlign w:val="bottom"/>
            <w:gridSpan w:val="2"/>
            <w:shd w:val="clear" w:color="auto" w:fill="CCEEFF"/>
          </w:tcPr>
          <w:p>
            <w:pPr>
              <w:jc w:val="center"/>
              <w:ind w:left="474"/>
              <w:spacing w:after="0" w:line="176" w:lineRule="exact"/>
              <w:rPr>
                <w:sz w:val="20"/>
                <w:szCs w:val="20"/>
                <w:color w:val="auto"/>
              </w:rPr>
            </w:pPr>
            <w:r>
              <w:rPr>
                <w:rFonts w:ascii="Times New Roman" w:cs="Times New Roman" w:eastAsia="Times New Roman" w:hAnsi="Times New Roman"/>
                <w:sz w:val="18"/>
                <w:szCs w:val="18"/>
                <w:color w:val="auto"/>
                <w:w w:val="97"/>
              </w:rPr>
              <w:t>0.125%</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For purposes of the foregoing, (i) if only one of Moody’s and S&amp;P shall have in effect a rating for the Index Debt (other than by reason of a change in the rating system of, or unavailability of a ratings by, such rating agencies, as referred to in the last sentence of this paragraph), then the other rating agency shall be deemed to have established a rating in the same Category as such agency; (ii) if each of Moody’s and S&amp;P shall have in effect a rating for the Index Debt, and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10" w:name="page11"/>
    <w:bookmarkEnd w:id="10"/>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ratings shall fall within different Categories, the Applicable Rate shall be based on the higher of the two ratings; and (iii) if the ratings established or deemed to have been established by Moody’s and/or S&amp;P for the Index Debt shall be changed (other than as a result of a change in the rating system of Moody’s or S&amp;P), such change shall be effective as of the date on which it is first announced by the applicable rating agency. Each change in the Applicable Rate shall apply during the period commencing on the effective date of such change and ending on the date immediately preceding the effective date of the next such change. If the rating system of Moody’s or S&amp;P shall change, or if either such rating agency shall cease to be in the business of rating corporate debt obligations, the Borrower and the Lenders shall negotiate in good faith to amend this definition to reflect such changed rating system or the unavailability of ratings from such rating agency and, pending the effectiveness of any such amendment, the Applicable Rate shall be determined by reference to the rating most recently in effect prior to such change or cessation.</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w:t>
      </w:r>
      <w:r>
        <w:rPr>
          <w:rFonts w:ascii="Times New Roman" w:cs="Times New Roman" w:eastAsia="Times New Roman" w:hAnsi="Times New Roman"/>
          <w:sz w:val="18"/>
          <w:szCs w:val="18"/>
          <w:color w:val="auto"/>
        </w:rPr>
        <w:t>” means each Joint Lead Arranger and Joint Bookrunner listed on the cover page hereof.</w:t>
      </w:r>
    </w:p>
    <w:p>
      <w:pPr>
        <w:spacing w:after="0" w:line="225" w:lineRule="exact"/>
        <w:rPr>
          <w:sz w:val="20"/>
          <w:szCs w:val="20"/>
          <w:color w:val="auto"/>
        </w:rPr>
      </w:pPr>
    </w:p>
    <w:p>
      <w:pPr>
        <w:ind w:right="4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assignee (with the consent of any party whose consent is required by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and accepted by the Administrative Agent,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any other form approved by the Administrative Agent.</w:t>
      </w:r>
    </w:p>
    <w:p>
      <w:pPr>
        <w:spacing w:after="0" w:line="176"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Attributable Indebtedness</w:t>
      </w:r>
      <w:r>
        <w:rPr>
          <w:rFonts w:ascii="Times New Roman" w:cs="Times New Roman" w:eastAsia="Times New Roman" w:hAnsi="Times New Roman"/>
          <w:sz w:val="18"/>
          <w:szCs w:val="18"/>
          <w:color w:val="auto"/>
        </w:rPr>
        <w:t>”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w:t>
      </w:r>
    </w:p>
    <w:p>
      <w:pPr>
        <w:spacing w:after="0" w:line="192"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means the period from and including the Effective Date to but excluding the earlier of the Maturity Date and the date of termination of the Commitments.</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xml:space="preserve">” means, as of any date of determination and with respect to the then-current Benchmark, as applicable, (a) if the then-current Benchmark is a term rate, any tenor for such Benchmark or (b) otherwise, any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18"/>
          <w:szCs w:val="18"/>
          <w:u w:val="single" w:color="auto"/>
          <w:color w:val="auto"/>
        </w:rPr>
        <w:t>Section 2.14(c)(iv)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1" w:name="page12"/>
    <w:bookmarkEnd w:id="11"/>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means Term SOFR, or if a Benchmark Replacement has occurred, the alternate benchmark rate that has been selected by the Administrative Agent and the Borrower as the replacement for the then-current Benchmark.</w:t>
      </w:r>
    </w:p>
    <w:p>
      <w:pPr>
        <w:spacing w:after="0" w:line="162"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means the alternate benchmark rate that has been selected by the Administrative Agent and the Borrower as the replacement for the then-current Benchmark, for which the Administrative Agent has determined (which determination shall be conclusive absent manifest error) that adequate and reasonable means no longer exist for ascertaining such Benchmark. The Benchmark Replacement shall be determined by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and for any Available Tenor is the sum of: (A) such alternate benchmark rate that has been selected by the Administrative Agent and the Borrower for the applicable Corresponding Tenor and (B) the related Benchmark Replacement Adjustment. If the Benchmark Replacement as determined pursuant to this definition would be less than zero, the Benchmark Replacement will be deemed to be zero for the purposes of this Agreement.</w:t>
      </w:r>
    </w:p>
    <w:p>
      <w:pPr>
        <w:spacing w:after="0" w:line="188"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giving due consideration to (i) any selection or recommendation of a spread adjustment, or method for calculating or determining such spread adjustment, for the replacement of such Available Tenor of such Benchmark with the applicable Unadjusted Benchmark Replacement by the Relevant Governmental Body or (ii) any evolving or then-prevailing market convention for determining a spread adjustment, or method for calculating or determining such spread adjustment, for the replacement of such Available Tenor of such Benchmark with the applicable Unadjusted Benchmark Replacement for Dollar-denominated syndicated credit facilities.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as required by the Beneficial Ownership Regulation.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12" w:name="page13"/>
    <w:bookmarkEnd w:id="12"/>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means Enterprise Products Operating LLC, a Texas limited liability company.</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Loans of the same Type, made, converted or continued on the same date and, in the case of SOFR Loans, as to which a single Interest Period is in effect.</w:t>
      </w:r>
    </w:p>
    <w:p>
      <w:pPr>
        <w:spacing w:after="0" w:line="162"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xml:space="preserve">” means a request by the Borrower for a Borrowing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and being in the form of attached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34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xml:space="preserve">” means any day that is not a Saturday, Sunday or other day on which commercial banks in New York City are authorized or required by law to remain closed;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when used in connection with a SOFR Loan, or any ABR Loan as to which the interest rate is determined by reference to Term SOFR, the term “</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shall also exclude any day that is not a U.S. Government Securities Business Day.</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CERCLA</w:t>
      </w:r>
      <w:r>
        <w:rPr>
          <w:rFonts w:ascii="Times New Roman" w:cs="Times New Roman" w:eastAsia="Times New Roman" w:hAnsi="Times New Roman"/>
          <w:sz w:val="18"/>
          <w:szCs w:val="18"/>
          <w:color w:val="auto"/>
        </w:rPr>
        <w:t>” means the Comprehensive Environmental, Response, Compensation, and Liability Act of 1980,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the occurrence of any of the following events:</w:t>
      </w:r>
    </w:p>
    <w:p>
      <w:pPr>
        <w:spacing w:after="0" w:line="225" w:lineRule="exact"/>
        <w:rPr>
          <w:sz w:val="20"/>
          <w:szCs w:val="20"/>
          <w:color w:val="auto"/>
        </w:rPr>
      </w:pPr>
    </w:p>
    <w:p>
      <w:pPr>
        <w:ind w:left="440" w:right="280" w:firstLine="419"/>
        <w:spacing w:after="0" w:line="282" w:lineRule="auto"/>
        <w:tabs>
          <w:tab w:leader="none" w:pos="10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Directors cease for any reason to constitute collectively a majority of the members of the board of directors of Manager or Enterprise GP then in office;</w:t>
      </w:r>
    </w:p>
    <w:p>
      <w:pPr>
        <w:spacing w:after="0" w:line="161" w:lineRule="exact"/>
        <w:rPr>
          <w:rFonts w:ascii="Times New Roman" w:cs="Times New Roman" w:eastAsia="Times New Roman" w:hAnsi="Times New Roman"/>
          <w:sz w:val="18"/>
          <w:szCs w:val="18"/>
          <w:color w:val="auto"/>
        </w:rPr>
      </w:pPr>
    </w:p>
    <w:p>
      <w:pPr>
        <w:jc w:val="both"/>
        <w:ind w:left="440" w:right="320" w:firstLine="419"/>
        <w:spacing w:after="0" w:line="266" w:lineRule="auto"/>
        <w:tabs>
          <w:tab w:leader="none" w:pos="11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related Persons constituting a group (as such term is used in Rule 13d-5 under the Securities Exchange Act of 1934, as amended) obtains direct or indirect beneficial ownership interest in the Manager or Enterprise GP greater than the direct or indirect beneficial ownership interests of EPCO and its Affiliates in the Manager or Enterprise GP; or</w:t>
      </w:r>
    </w:p>
    <w:p>
      <w:pPr>
        <w:spacing w:after="0" w:line="175" w:lineRule="exact"/>
        <w:rPr>
          <w:rFonts w:ascii="Times New Roman" w:cs="Times New Roman" w:eastAsia="Times New Roman" w:hAnsi="Times New Roman"/>
          <w:sz w:val="18"/>
          <w:szCs w:val="18"/>
          <w:color w:val="auto"/>
        </w:rPr>
      </w:pPr>
    </w:p>
    <w:p>
      <w:pPr>
        <w:ind w:left="440" w:firstLine="419"/>
        <w:spacing w:after="0" w:line="282" w:lineRule="auto"/>
        <w:tabs>
          <w:tab w:leader="none" w:pos="11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Manager and EPD shall cease to own, directly or indirectly, all of the Equity Interests (including all securities which are convertible into Equity Interests) of Borrower.</w:t>
      </w:r>
    </w:p>
    <w:p>
      <w:pPr>
        <w:spacing w:after="0" w:line="16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u w:val="single" w:color="auto"/>
          <w:color w:val="auto"/>
        </w:rPr>
        <w:t>Continuing Director</w:t>
      </w:r>
      <w:r>
        <w:rPr>
          <w:rFonts w:ascii="Times New Roman" w:cs="Times New Roman" w:eastAsia="Times New Roman" w:hAnsi="Times New Roman"/>
          <w:sz w:val="18"/>
          <w:szCs w:val="18"/>
          <w:color w:val="auto"/>
        </w:rPr>
        <w:t>” means any member of the board of directors of Manager or Enterprise GP, respectively, who (x) is a member of such board of directors as of the date hereof, or (y) was nominated for election or elected to such board of directors with the approval of a majority of the Continuing Directors who were members of such board at the time of such nomination or election.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3" w:name="page14"/>
    <w:bookmarkEnd w:id="13"/>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(a) the adoption of any law, rule or regulation after the date of this Agreement, (b) any change in any law, rule or regulation or in the interpretation or application thereof by any Governmental Authority after the date of this Agreement or (c) compliance by any Lender (or, for purposes of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 xml:space="preserve">, by any lending office of such Lender or by such Lender’s holding company, if any) with any request, guideline or directive (whether or not having the force of law) of any Governmental Authority made or issued after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regulatory authorities, in each case pursuant to Basel III, shall in each case be deemed to be a “Change in Law”, regardless of the date enacted, adopted, promulgated or issued.</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Commercial Operation Date</w:t>
      </w:r>
      <w:r>
        <w:rPr>
          <w:rFonts w:ascii="Times New Roman" w:cs="Times New Roman" w:eastAsia="Times New Roman" w:hAnsi="Times New Roman"/>
          <w:sz w:val="18"/>
          <w:szCs w:val="18"/>
          <w:color w:val="auto"/>
        </w:rPr>
        <w:t>” means the date on which a Material Project is substantially complete and commercially operable.</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means, with respect to each Lender, the commitment of such Lender to make Loans hereunder, expressed as an amount representing the maximum aggregate amount of such Lender’s Exposure hereunder, as such commitment may be (a) reduced from time to time pursuant to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and (b) reduced or increased from time to time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or assignments by or to such Lender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The initial amount of each Lender’s Commitment is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or in the Assignment and Assumption pursuant to which such Lender shall have assumed its Commitment, as applicable. The initial aggregate amount of the Lenders’ Commitments as of the Effective Date is $1,500,000,000.</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Units</w:t>
      </w:r>
      <w:r>
        <w:rPr>
          <w:rFonts w:ascii="Times New Roman" w:cs="Times New Roman" w:eastAsia="Times New Roman" w:hAnsi="Times New Roman"/>
          <w:sz w:val="18"/>
          <w:szCs w:val="18"/>
          <w:color w:val="auto"/>
        </w:rPr>
        <w:t>” means the common units of limited partner interests in EPD.</w:t>
      </w:r>
    </w:p>
    <w:p>
      <w:pPr>
        <w:spacing w:after="0" w:line="225" w:lineRule="exact"/>
        <w:rPr>
          <w:sz w:val="20"/>
          <w:szCs w:val="20"/>
          <w:color w:val="auto"/>
        </w:rPr>
      </w:pPr>
    </w:p>
    <w:p>
      <w:pPr>
        <w:ind w:right="38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Agreement</w:t>
      </w:r>
      <w:r>
        <w:rPr>
          <w:rFonts w:ascii="Times New Roman" w:cs="Times New Roman" w:eastAsia="Times New Roman" w:hAnsi="Times New Roman"/>
          <w:sz w:val="17"/>
          <w:szCs w:val="17"/>
          <w:color w:val="auto"/>
        </w:rPr>
        <w:t>” means the Company Agreement of the Borrower dated as of June 30, 2007 between Manager and EPD, as members, substantially in the form provided to the Lenders, as such Company Agreement may be amended, modified and supplemented from time to time.</w:t>
      </w:r>
    </w:p>
    <w:p>
      <w:pPr>
        <w:spacing w:after="0" w:line="14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means, with respect to Term SOFR or any Benchmark Replacement, any technical, administrative or operational changes (including changes to the definition of “Alternate Base 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in its reasonable discretion (in consultation with the Borrower), may be appropriate to reflect the adoption and implementation of such Benchmark Replacement and to permit the administration thereof by the Administrative Agent in a manner substantially consistent with market practice (or, if the Administrative Agent decides, in its reasonable discretion, that adoption of any portion of such market practice is not administratively feasible or if the Administrative Agent determines, in its reasonable discretion, that no market practice for the administration of such Benchmark Replacement exists, in such other manner of administration as the Administrative Agent decides is reasonably necessary in connection with the administration of this Agreement).</w:t>
      </w:r>
    </w:p>
    <w:p>
      <w:pPr>
        <w:spacing w:after="0" w:line="1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70" w:right="499" w:bottom="1440" w:gutter="0" w:footer="0" w:header="0"/>
        </w:sectPr>
      </w:pPr>
    </w:p>
    <w:bookmarkStart w:id="14" w:name="page15"/>
    <w:bookmarkEnd w:id="14"/>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xml:space="preserve">” means for any period, the sum of (a) the consolidated net income of the Borrower and its consolidated Subsidiaries (excluding Project Finance Subsidiaries) for such period plus, to the extent deducted in determining consolidated net income for such period, the aggregate amount of (i) Consolidated Interest Expense, (ii) income or gross receipts tax (or franchise tax or margin tax in the nature of an income or gross receipts tax) expense, (iii) depreciation and amortization expense, and (iv) non-cash charges,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equity in earnings from unconsolidated subsidiaries of the Borrower to the extent included therein,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the amount of cash dividends or distributions payable with respect to such period by a Project Finance Subsidiary or an unconsolidated subsidiary which are actually received by the Borrower or a Subsidiary (other than a Project Finance Subsidiary) during such period or on or prior to the date the financial statements with respect to such period referred to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are required to be delivered by the Borrower,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(d) the amount of all payments during such period on leases of the type referred to in clause (d) of the definition herein of Indebtedness and the amount of all payments during such period under other off-balance sheet loans and financings of the type referred to in such clause (d),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(e) the amount of any cash dividends, repayments of loans or advances, releases or discharges of guarantees or other obligations or other transfers of property or returns of capital previously received by the Borrower or a Subsidiary (other than a Project Finance Subsidiary) from a Project Finance Subsidiary that during such period were either (x) recovered pursuant to recourse provisions with respect to a Project Financing at such Project Finance Subsidiary or (y) reinvested by the Borrower or a Subsidiary in such Project Finance Subsidiary,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(f) non-cash gains.</w:t>
      </w:r>
    </w:p>
    <w:p>
      <w:pPr>
        <w:spacing w:after="0" w:line="187"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Indebtedness</w:t>
      </w:r>
      <w:r>
        <w:rPr>
          <w:rFonts w:ascii="Times New Roman" w:cs="Times New Roman" w:eastAsia="Times New Roman" w:hAnsi="Times New Roman"/>
          <w:sz w:val="18"/>
          <w:szCs w:val="18"/>
          <w:color w:val="auto"/>
        </w:rPr>
        <w:t>” means for any date, the Indebtedness of the Borrower and its consolidated Subsidiaries (excluding Project Finance Subsidiaries) including, without duplication, guaranties of funded debt, determined on a consolidated basis as of such date.</w:t>
      </w:r>
    </w:p>
    <w:p>
      <w:pPr>
        <w:spacing w:after="0" w:line="162"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Expense</w:t>
      </w:r>
      <w:r>
        <w:rPr>
          <w:rFonts w:ascii="Times New Roman" w:cs="Times New Roman" w:eastAsia="Times New Roman" w:hAnsi="Times New Roman"/>
          <w:sz w:val="18"/>
          <w:szCs w:val="18"/>
          <w:color w:val="auto"/>
        </w:rPr>
        <w:t>” means for any period, the interest expense of the Borrower and its consolidated Subsidiaries (excluding Project Finance Subsidiaries), determined on a consolidated basis for such period.</w:t>
      </w:r>
    </w:p>
    <w:p>
      <w:pPr>
        <w:spacing w:after="0" w:line="162"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Tangible Assets</w:t>
      </w:r>
      <w:r>
        <w:rPr>
          <w:rFonts w:ascii="Times New Roman" w:cs="Times New Roman" w:eastAsia="Times New Roman" w:hAnsi="Times New Roman"/>
          <w:sz w:val="18"/>
          <w:szCs w:val="18"/>
          <w:color w:val="auto"/>
        </w:rPr>
        <w:t>” means, at any date of determination, the total amount of assets of EPD and its consolidated subsidiaries after deducting therefrom:</w:t>
      </w:r>
    </w:p>
    <w:p>
      <w:pPr>
        <w:spacing w:after="0" w:line="162" w:lineRule="exact"/>
        <w:rPr>
          <w:sz w:val="20"/>
          <w:szCs w:val="20"/>
          <w:color w:val="auto"/>
        </w:rPr>
      </w:pPr>
    </w:p>
    <w:p>
      <w:pPr>
        <w:ind w:left="4" w:firstLine="436"/>
        <w:spacing w:after="0" w:line="282" w:lineRule="auto"/>
        <w:tabs>
          <w:tab w:leader="none" w:pos="68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liabilities (excluding (A) any current liabilities that by their terms are extendable or renewable at the option of the obligor thereon to a time more than 12 months after the time as of which the amount thereof is being computed, and (B) current maturities of long-term debt); and</w:t>
      </w:r>
    </w:p>
    <w:p>
      <w:pPr>
        <w:spacing w:after="0" w:line="161" w:lineRule="exact"/>
        <w:rPr>
          <w:rFonts w:ascii="Times New Roman" w:cs="Times New Roman" w:eastAsia="Times New Roman" w:hAnsi="Times New Roman"/>
          <w:sz w:val="18"/>
          <w:szCs w:val="18"/>
          <w:color w:val="auto"/>
        </w:rPr>
      </w:pPr>
    </w:p>
    <w:p>
      <w:pPr>
        <w:jc w:val="both"/>
        <w:ind w:left="4" w:right="140" w:firstLine="436"/>
        <w:spacing w:after="0" w:line="266" w:lineRule="auto"/>
        <w:tabs>
          <w:tab w:leader="none" w:pos="69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(net of any applicable reserves) of all goodwill, trade names, trademarks, patents and other like intangible assets, all as set forth, or on a pro forma basis would be set forth, on the consolidated balance sheet of EPD and its consolidated subsidiaries for EPD’s most recently completed fiscal quarter, prepared in accordance with GAAP.</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Worth</w:t>
      </w:r>
      <w:r>
        <w:rPr>
          <w:rFonts w:ascii="Times New Roman" w:cs="Times New Roman" w:eastAsia="Times New Roman" w:hAnsi="Times New Roman"/>
          <w:sz w:val="18"/>
          <w:szCs w:val="18"/>
          <w:color w:val="auto"/>
        </w:rPr>
        <w:t>” means as to any Person, at any date of determination, the sum of (i) preferred stock (if any), (ii) an amount equal to</w:t>
      </w:r>
    </w:p>
    <w:p>
      <w:pPr>
        <w:spacing w:after="0" w:line="27" w:lineRule="exact"/>
        <w:rPr>
          <w:sz w:val="20"/>
          <w:szCs w:val="20"/>
          <w:color w:val="auto"/>
        </w:rPr>
      </w:pPr>
    </w:p>
    <w:p>
      <w:pPr>
        <w:ind w:left="244" w:hanging="244"/>
        <w:spacing w:after="0"/>
        <w:tabs>
          <w:tab w:leader="none" w:pos="2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face amount of outstanding Hybrid Securities not in excess of 15% of Consolidated Total Capitalization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(b) sixty-two and one-half percent</w:t>
      </w:r>
    </w:p>
    <w:p>
      <w:pPr>
        <w:spacing w:after="0" w:line="9" w:lineRule="exact"/>
        <w:rPr>
          <w:rFonts w:ascii="Times New Roman" w:cs="Times New Roman" w:eastAsia="Times New Roman" w:hAnsi="Times New Roman"/>
          <w:sz w:val="18"/>
          <w:szCs w:val="18"/>
          <w:color w:val="auto"/>
        </w:rPr>
      </w:pPr>
    </w:p>
    <w:p>
      <w:pPr>
        <w:ind w:left="4" w:right="5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(62.5%), (iii) par value of common stock, (iv) capital in excess of par value of common stock, (v) limited liability company capital or equity, and (vi) retained earnings, less treasury stock (if any), of such Person, all as determined on a consolidated basis.</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70" w:right="479" w:bottom="1440" w:gutter="0" w:footer="0" w:header="0"/>
        </w:sectPr>
      </w:pPr>
    </w:p>
    <w:bookmarkStart w:id="15" w:name="page16"/>
    <w:bookmarkEnd w:id="1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Consolidated Total Capitalization</w:t>
      </w:r>
      <w:r>
        <w:rPr>
          <w:rFonts w:ascii="Times New Roman" w:cs="Times New Roman" w:eastAsia="Times New Roman" w:hAnsi="Times New Roman"/>
          <w:sz w:val="18"/>
          <w:szCs w:val="18"/>
          <w:color w:val="auto"/>
        </w:rPr>
        <w:t>” means the sum of (i) Consolidated Indebtedness and (ii) Borrower’s Consolidated Net Worth.</w:t>
      </w:r>
    </w:p>
    <w:p>
      <w:pPr>
        <w:spacing w:after="0" w:line="225" w:lineRule="exact"/>
        <w:rPr>
          <w:sz w:val="20"/>
          <w:szCs w:val="20"/>
          <w:color w:val="auto"/>
        </w:rPr>
      </w:pPr>
    </w:p>
    <w:p>
      <w:pPr>
        <w:ind w:left="4" w:right="36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Control</w:t>
      </w:r>
      <w:r>
        <w:rPr>
          <w:rFonts w:ascii="Times New Roman" w:cs="Times New Roman" w:eastAsia="Times New Roman" w:hAnsi="Times New Roman"/>
          <w:sz w:val="17"/>
          <w:szCs w:val="17"/>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7"/>
          <w:szCs w:val="17"/>
          <w:u w:val="single" w:color="auto"/>
          <w:color w:val="auto"/>
        </w:rPr>
        <w:t>Controlling</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Controlled</w:t>
      </w:r>
      <w:r>
        <w:rPr>
          <w:rFonts w:ascii="Times New Roman" w:cs="Times New Roman" w:eastAsia="Times New Roman" w:hAnsi="Times New Roman"/>
          <w:sz w:val="17"/>
          <w:szCs w:val="17"/>
          <w:color w:val="auto"/>
        </w:rPr>
        <w:t>” have meanings correlative thereto.</w:t>
      </w:r>
    </w:p>
    <w:p>
      <w:pPr>
        <w:spacing w:after="0" w:line="140" w:lineRule="exact"/>
        <w:rPr>
          <w:sz w:val="20"/>
          <w:szCs w:val="20"/>
          <w:color w:val="auto"/>
        </w:rPr>
      </w:pPr>
    </w:p>
    <w:p>
      <w:pPr>
        <w:ind w:left="4"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Corresponding Tenor</w:t>
      </w:r>
      <w:r>
        <w:rPr>
          <w:rFonts w:ascii="Times New Roman" w:cs="Times New Roman" w:eastAsia="Times New Roman" w:hAnsi="Times New Roman"/>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Coverage Ratio</w:t>
      </w:r>
      <w:r>
        <w:rPr>
          <w:rFonts w:ascii="Times New Roman" w:cs="Times New Roman" w:eastAsia="Times New Roman" w:hAnsi="Times New Roman"/>
          <w:sz w:val="18"/>
          <w:szCs w:val="18"/>
          <w:color w:val="auto"/>
        </w:rPr>
        <w:t>” means the ratio of Consolidated Indebtedness to Consolidated EBITDA.</w:t>
      </w:r>
    </w:p>
    <w:p>
      <w:pPr>
        <w:spacing w:after="0" w:line="225"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which constitutes an Event of Default or which upon notice, lapse of time or both would, unless cured or waived, become an Event of Default.</w:t>
      </w:r>
    </w:p>
    <w:p>
      <w:pPr>
        <w:spacing w:after="0" w:line="162"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means at any time, subject to </w:t>
      </w:r>
      <w:r>
        <w:rPr>
          <w:rFonts w:ascii="Times New Roman" w:cs="Times New Roman" w:eastAsia="Times New Roman" w:hAnsi="Times New Roman"/>
          <w:sz w:val="18"/>
          <w:szCs w:val="18"/>
          <w:u w:val="single" w:color="auto"/>
          <w:color w:val="auto"/>
        </w:rPr>
        <w:t>Section 2.21(b)</w:t>
      </w:r>
      <w:r>
        <w:rPr>
          <w:rFonts w:ascii="Times New Roman" w:cs="Times New Roman" w:eastAsia="Times New Roman" w:hAnsi="Times New Roman"/>
          <w:sz w:val="18"/>
          <w:szCs w:val="18"/>
          <w:color w:val="auto"/>
        </w:rPr>
        <w:t>, (i) any Lender that has failed for two or more Business Days to comply with its obligations under this Agreement to make a Loan or make any other payment due hereunder (each, a “</w:t>
      </w:r>
      <w:r>
        <w:rPr>
          <w:rFonts w:ascii="Times New Roman" w:cs="Times New Roman" w:eastAsia="Times New Roman" w:hAnsi="Times New Roman"/>
          <w:sz w:val="18"/>
          <w:szCs w:val="18"/>
          <w:u w:val="single" w:color="auto"/>
          <w:color w:val="auto"/>
        </w:rPr>
        <w:t>funding obligation</w:t>
      </w:r>
      <w:r>
        <w:rPr>
          <w:rFonts w:ascii="Times New Roman" w:cs="Times New Roman" w:eastAsia="Times New Roman" w:hAnsi="Times New Roman"/>
          <w:sz w:val="18"/>
          <w:szCs w:val="18"/>
          <w:color w:val="auto"/>
        </w:rPr>
        <w:t>”), (ii) any Lender that has notified the Administrative Agent or the Borrower in writing, or has stated publicly, that it does not intend to comply with its funding obligations hereunder or generally under other agreements in which it commits to extend credit and has not retracted such statement or announcement, (iii) any Lender that has defaulted on its funding obligations under any other loan agreement or credit agreement or other financing agreement, (iv) any Lender that has, for three or more Business Days after written request of the Administrative Agent or the Borrower, failed to confirm in writing to the Administrative Agent and the Borrower that it will comply with its prospective funding obligations hereunder (provided, that such Lender will cease to be a Defaulting Lender pursuant to this clause (iv) upon the Administrative Agent’s and the Borrower’s receipt of such written confirmation), or (v) any Lender (x) with respect to which a Lender Insolvency Event has occurred and is continuing with respect to such Lender or its Parent Company or</w:t>
      </w:r>
    </w:p>
    <w:p>
      <w:pPr>
        <w:spacing w:after="0" w:line="6" w:lineRule="exact"/>
        <w:rPr>
          <w:sz w:val="20"/>
          <w:szCs w:val="20"/>
          <w:color w:val="auto"/>
        </w:rPr>
      </w:pPr>
    </w:p>
    <w:p>
      <w:pPr>
        <w:ind w:left="4" w:right="200" w:hanging="4"/>
        <w:spacing w:after="0" w:line="253" w:lineRule="auto"/>
        <w:tabs>
          <w:tab w:leader="none" w:pos="2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has, or its Parent Company has, become the subject of a Bail-In Action. Any determination by the Administrative Agent that a Lender is a Defaulting Lender under any of clauses (i) through (v) above will be conclusive and binding absent manifest error, and such Lender will be deemed to be a Defaulting Lender (subject to </w:t>
      </w:r>
      <w:r>
        <w:rPr>
          <w:rFonts w:ascii="Times New Roman" w:cs="Times New Roman" w:eastAsia="Times New Roman" w:hAnsi="Times New Roman"/>
          <w:sz w:val="18"/>
          <w:szCs w:val="18"/>
          <w:u w:val="single" w:color="auto"/>
          <w:color w:val="auto"/>
        </w:rPr>
        <w:t>Section 2.21(b)</w:t>
      </w:r>
      <w:r>
        <w:rPr>
          <w:rFonts w:ascii="Times New Roman" w:cs="Times New Roman" w:eastAsia="Times New Roman" w:hAnsi="Times New Roman"/>
          <w:sz w:val="18"/>
          <w:szCs w:val="18"/>
          <w:color w:val="auto"/>
        </w:rPr>
        <w:t>) upon notification of such determination by the Administrative Agent to the Borrower and the Lenders.</w:t>
      </w:r>
    </w:p>
    <w:p>
      <w:pPr>
        <w:spacing w:after="0" w:line="189"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Persons</w:t>
      </w:r>
      <w:r>
        <w:rPr>
          <w:rFonts w:ascii="Times New Roman" w:cs="Times New Roman" w:eastAsia="Times New Roman" w:hAnsi="Times New Roman"/>
          <w:sz w:val="18"/>
          <w:szCs w:val="18"/>
          <w:color w:val="auto"/>
        </w:rPr>
        <w:t>” means a person or entity: (i) listed in the annex to, or otherwise the subject of the provisions of, any executive order administered by OFAC or the U.S. Department of State or (ii) named as a “Specially Designated National and Blocked Person” or a “Foreign Sanctions Evaders” on the most current list published by OFAC at its official website or any replacement website or other replacement official publication of such list; or is otherwise the subject of any Sanctions Laws and Regulations.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16" w:name="page17"/>
    <w:bookmarkEnd w:id="1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Disclosed Matters</w:t>
      </w:r>
      <w:r>
        <w:rPr>
          <w:rFonts w:ascii="Times New Roman" w:cs="Times New Roman" w:eastAsia="Times New Roman" w:hAnsi="Times New Roman"/>
          <w:sz w:val="18"/>
          <w:szCs w:val="18"/>
          <w:color w:val="auto"/>
        </w:rPr>
        <w:t>” means the actions, suits and proceedings and the environmental matters disclosed in Schedule 3.05.</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refers to lawful money of the United States of America.</w:t>
      </w:r>
    </w:p>
    <w:p>
      <w:pPr>
        <w:spacing w:after="0" w:line="225"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means the date on or prior to April 30, 2026 specified in the notice referred to in the last sentence of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Record</w:t>
      </w:r>
      <w:r>
        <w:rPr>
          <w:rFonts w:ascii="Times New Roman" w:cs="Times New Roman" w:eastAsia="Times New Roman" w:hAnsi="Times New Roman"/>
          <w:sz w:val="18"/>
          <w:szCs w:val="18"/>
          <w:color w:val="auto"/>
        </w:rPr>
        <w:t>” has the meaning assigned to that term in, and shall be interpreted in accordance with, 15 U.S.C. 7006.</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has the meaning assigned to that term in, and shall be interpreted in accordance with, 15 U.S.C. 7006.</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Enterprise GP</w:t>
      </w:r>
      <w:r>
        <w:rPr>
          <w:rFonts w:ascii="Times New Roman" w:cs="Times New Roman" w:eastAsia="Times New Roman" w:hAnsi="Times New Roman"/>
          <w:sz w:val="18"/>
          <w:szCs w:val="18"/>
          <w:color w:val="auto"/>
        </w:rPr>
        <w:t>” means Enterprise Products Holdings LLC, a Delaware limited liability company, the general partner of EPD.</w:t>
      </w:r>
    </w:p>
    <w:p>
      <w:pPr>
        <w:spacing w:after="0" w:line="22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or to health and safety matters.</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contingent or otherwise (including any liability for damages, costs of environmental remediation, fines, penalties or indemnities), of the Borrower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EPCO</w:t>
      </w:r>
      <w:r>
        <w:rPr>
          <w:rFonts w:ascii="Times New Roman" w:cs="Times New Roman" w:eastAsia="Times New Roman" w:hAnsi="Times New Roman"/>
          <w:sz w:val="18"/>
          <w:szCs w:val="18"/>
          <w:color w:val="auto"/>
        </w:rPr>
        <w:t>” means Enterprise Products Company, a Texas corporation.</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440" w:top="270" w:right="499" w:bottom="1440" w:gutter="0" w:footer="0" w:header="0"/>
        </w:sectPr>
      </w:pPr>
    </w:p>
    <w:bookmarkStart w:id="17" w:name="page18"/>
    <w:bookmarkEnd w:id="17"/>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EPD</w:t>
      </w:r>
      <w:r>
        <w:rPr>
          <w:rFonts w:ascii="Times New Roman" w:cs="Times New Roman" w:eastAsia="Times New Roman" w:hAnsi="Times New Roman"/>
          <w:sz w:val="18"/>
          <w:szCs w:val="18"/>
          <w:color w:val="auto"/>
        </w:rPr>
        <w:t>” means Enterprise Products Partners L.P., a Delaware limited partnership, any legal successor entity thereto, or any other Person that is the “Guarantor” as defined in the March 15, 2000 Indenture or any replacement or supplemental indenture.</w:t>
      </w:r>
    </w:p>
    <w:p>
      <w:pPr>
        <w:spacing w:after="0" w:line="162"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EPD Guaranty Agreement</w:t>
      </w:r>
      <w:r>
        <w:rPr>
          <w:rFonts w:ascii="Times New Roman" w:cs="Times New Roman" w:eastAsia="Times New Roman" w:hAnsi="Times New Roman"/>
          <w:sz w:val="18"/>
          <w:szCs w:val="18"/>
          <w:color w:val="auto"/>
        </w:rPr>
        <w:t>” means an agreement in form and substance satisfactory to the Administrative Agent by EPD guaranteeing, unconditionally, payment of any principal of or interest on the Loans or any other amount payable under this Agreement, when and as the same shall become due and payable.</w:t>
      </w:r>
    </w:p>
    <w:p>
      <w:pPr>
        <w:spacing w:after="0" w:line="176"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w:t>
      </w:r>
      <w:r>
        <w:rPr>
          <w:rFonts w:ascii="Times New Roman" w:cs="Times New Roman" w:eastAsia="Times New Roman" w:hAnsi="Times New Roman"/>
          <w:sz w:val="18"/>
          <w:szCs w:val="18"/>
          <w:color w:val="auto"/>
        </w:rPr>
        <w:t>” means shares of the capital stock, partnership interests, membership interests in a limited liability company, beneficial interests in a trust or other equity interests in any Person, or any warrants, options or other rights to acquire such interests.</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 and the rules and regulations promulgated thereunder.</w:t>
      </w:r>
    </w:p>
    <w:p>
      <w:pPr>
        <w:spacing w:after="0" w:line="162"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w:t>
      </w:r>
    </w:p>
    <w:p>
      <w:pPr>
        <w:spacing w:after="0" w:line="176" w:lineRule="exact"/>
        <w:rPr>
          <w:sz w:val="20"/>
          <w:szCs w:val="20"/>
          <w:color w:val="auto"/>
        </w:rPr>
      </w:pPr>
    </w:p>
    <w:p>
      <w:pPr>
        <w:jc w:val="both"/>
        <w:ind w:right="4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ERISA Event</w:t>
      </w:r>
      <w:r>
        <w:rPr>
          <w:rFonts w:ascii="Times New Roman" w:cs="Times New Roman" w:eastAsia="Times New Roman" w:hAnsi="Times New Roman"/>
          <w:sz w:val="17"/>
          <w:szCs w:val="17"/>
          <w:color w:val="auto"/>
        </w:rPr>
        <w:t>” means (a) any “reportable event”, as defined in Section 4043 of ERISA or the regulations issued thereunder with respect to a Plan (other than an event for which the 30-day notice period is waived); (b) the existence with respect to any Plan of an “accumulated funding deficiency” as defined in Section 412 of the Code or Section 302 of ERISA, whether or not waived; (c) the filing pursuant to Section 412(d) of the Code or</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Section 303(d)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from any Plan or Multiemployer Plan; or (g)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8.02(a)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8.02(d)(i)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Impacted Class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8.02(d)(i)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8.02(d)(i)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8" w:name="page19"/>
    <w:bookmarkEnd w:id="1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8.02(e)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xml:space="preserve">” means, with respect to the Administrative Agent, any Lender or any other recipient of any payment to be made by or on account of any obligation of the Borrower hereunder, (a) income or franchise taxes imposed on (or measured by) its net income by the United States of America, by any state thereof or the District of Columbia or by the jurisdiction under the laws of which such recipient is organized or in which its principal office is located or, in the case of any Lender, in which its applicable lending office is located or where it is resident or carrying on business, (b) any branch profits taxes imposed by the United States of America, any state thereof or the District of Columbia or any similar tax imposed by any other jurisdiction in which the Administrative Agent, such Lender or such other recipient is located, (c) in the case of a Foreign Lender (other than an assignee pursuant to a request by the Borrower under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 xml:space="preserve">), any United States withholding tax that is imposed on amounts payable to such Foreign Lender at the time such Foreign Lender becomes a party to this Agreement (or designates a new lending office) or is attributable to such Foreign Lender’s failure to comply with </w:t>
      </w:r>
      <w:r>
        <w:rPr>
          <w:rFonts w:ascii="Times New Roman" w:cs="Times New Roman" w:eastAsia="Times New Roman" w:hAnsi="Times New Roman"/>
          <w:sz w:val="18"/>
          <w:szCs w:val="18"/>
          <w:u w:val="single" w:color="auto"/>
          <w:color w:val="auto"/>
        </w:rPr>
        <w:t>Section 2.17(e)</w:t>
      </w:r>
      <w:r>
        <w:rPr>
          <w:rFonts w:ascii="Times New Roman" w:cs="Times New Roman" w:eastAsia="Times New Roman" w:hAnsi="Times New Roman"/>
          <w:sz w:val="18"/>
          <w:szCs w:val="18"/>
          <w:color w:val="auto"/>
        </w:rPr>
        <w:t xml:space="preserve">, except to the extent that such Foreign Lender (or its assignor, if any) was entitled, at the time of designation of a new lending office (or assignment), to receive additional amounts from the Borrower with respect to such withholding tax pursuant to </w:t>
      </w:r>
      <w:r>
        <w:rPr>
          <w:rFonts w:ascii="Times New Roman" w:cs="Times New Roman" w:eastAsia="Times New Roman" w:hAnsi="Times New Roman"/>
          <w:sz w:val="18"/>
          <w:szCs w:val="18"/>
          <w:u w:val="single" w:color="auto"/>
          <w:color w:val="auto"/>
        </w:rPr>
        <w:t>Section 2.17(a)</w:t>
      </w:r>
      <w:r>
        <w:rPr>
          <w:rFonts w:ascii="Times New Roman" w:cs="Times New Roman" w:eastAsia="Times New Roman" w:hAnsi="Times New Roman"/>
          <w:sz w:val="18"/>
          <w:szCs w:val="18"/>
          <w:color w:val="auto"/>
        </w:rPr>
        <w:t>, and (d) any U.S. federal withholding Taxes imposed under FATCA.</w:t>
      </w:r>
    </w:p>
    <w:p>
      <w:pPr>
        <w:spacing w:after="0" w:line="192"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Facility</w:t>
      </w:r>
      <w:r>
        <w:rPr>
          <w:rFonts w:ascii="Times New Roman" w:cs="Times New Roman" w:eastAsia="Times New Roman" w:hAnsi="Times New Roman"/>
          <w:sz w:val="18"/>
          <w:szCs w:val="18"/>
          <w:color w:val="auto"/>
        </w:rPr>
        <w:t>” means the revolving credit facility of the Borrower under that certain 364-Day Revolving Credit Agreement dated as of March 28, 2025, among the Borrower, Citibank, N.A., as administrative agent, and the lenders party thereto, together with any and all amendments and supplements thereto.</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Exposure</w:t>
      </w:r>
      <w:r>
        <w:rPr>
          <w:rFonts w:ascii="Times New Roman" w:cs="Times New Roman" w:eastAsia="Times New Roman" w:hAnsi="Times New Roman"/>
          <w:sz w:val="18"/>
          <w:szCs w:val="18"/>
          <w:color w:val="auto"/>
        </w:rPr>
        <w:t>” means, with respect to any Lender at any time, the sum of the outstanding principal amount of such Lender’s Loans.</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xml:space="preserve">” means the Foreign Account Tax Compliance Act, sections 1471 through 1474 of the Code and any regulations or official interpretations thereof (other than for purposes of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as such Code sections, regulations and official interpretations are in effect as of the date of this Agreement).</w:t>
      </w:r>
    </w:p>
    <w:p>
      <w:pPr>
        <w:spacing w:after="0" w:line="176"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means, for any day, the weighted average of the rates on overnight Federal funds transactions with members of the Federal Reserve System, as published on the next succeeding Business Day by the Federal Reserve Bank of New York, or, if such rate is not so published for any day that is a Business Day, the average of the quotations for such day for such transactions received by the Administrative Agent from three Federal funds brokers of recognized standing selected by it. Notwithstanding the foregoing, if the Federal Funds Effective Rate shall be less than zero, such rate shall be deemed to be zero for purposes of this Agreement.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9" w:name="page20"/>
    <w:bookmarkEnd w:id="19"/>
    <w:p>
      <w:pPr>
        <w:ind w:left="4" w:right="7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the chief financial officer, principal accounting officer, treasurer or controller of the Manager on behalf of the Borrower.</w:t>
      </w:r>
    </w:p>
    <w:p>
      <w:pPr>
        <w:spacing w:after="0" w:line="162"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any Lender that is organized under the laws of a jurisdiction other than the United States of America, any state thereof or the District of Columbia.</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of America.</w:t>
      </w:r>
    </w:p>
    <w:p>
      <w:pPr>
        <w:spacing w:after="0" w:line="225"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0"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in each case regulated pursuant to any Environmental Law.</w:t>
      </w:r>
    </w:p>
    <w:p>
      <w:pPr>
        <w:spacing w:after="0" w:line="176"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Hedging Agreement</w:t>
      </w:r>
      <w:r>
        <w:rPr>
          <w:rFonts w:ascii="Times New Roman" w:cs="Times New Roman" w:eastAsia="Times New Roman" w:hAnsi="Times New Roman"/>
          <w:sz w:val="18"/>
          <w:szCs w:val="18"/>
          <w:color w:val="auto"/>
        </w:rPr>
        <w:t>” means a financial instrument or security which is used as a cash flow or fair value hedge to manage the risk associated with a change in interest rates, foreign currency exchange rates or commodity prices.</w:t>
      </w:r>
    </w:p>
    <w:p>
      <w:pPr>
        <w:spacing w:after="0" w:line="162" w:lineRule="exact"/>
        <w:rPr>
          <w:sz w:val="20"/>
          <w:szCs w:val="20"/>
          <w:color w:val="auto"/>
        </w:rPr>
      </w:pPr>
    </w:p>
    <w:p>
      <w:pPr>
        <w:ind w:left="4" w:right="10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Hybrid Securities</w:t>
      </w:r>
      <w:r>
        <w:rPr>
          <w:rFonts w:ascii="Times New Roman" w:cs="Times New Roman" w:eastAsia="Times New Roman" w:hAnsi="Times New Roman"/>
          <w:sz w:val="18"/>
          <w:szCs w:val="18"/>
          <w:color w:val="auto"/>
        </w:rPr>
        <w:t>” means any trust preferred securities, or deferrable interest subordinated debt with a maturity of at least 20 years, which provides for the optional or mandatory deferral of interest or distributions, issued by the Borrower, or any business trusts, limited liability companies, limited partnerships or similar entities (i) substantially all of the common equity, general partner or similar interests of which are owned (either directly or indirectly through one or more wholly owned Subsidiaries) at all times by the Borrower or any of its Subsidiaries, (ii) that have been formed for the purpose of issuing hybrid securities or deferrable interest subordinated debt, and (iii) substantially all the assets of which consist of (A) subordinated debt of the Borrower or a Subsidiary of the Borrower, and (B) payments made from time to time on the subordinated debt.</w:t>
      </w:r>
    </w:p>
    <w:p>
      <w:pPr>
        <w:spacing w:after="0" w:line="187" w:lineRule="exact"/>
        <w:rPr>
          <w:sz w:val="20"/>
          <w:szCs w:val="20"/>
          <w:color w:val="auto"/>
        </w:rPr>
      </w:pPr>
    </w:p>
    <w:p>
      <w:pPr>
        <w:ind w:left="4" w:right="2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of any Person means, without duplication, (a) all obligations of such Person for the repayment of money borrowed which are or should be shown on a balance sheet as debt in accordance with GAAP, (b) obligations of such Person as lessee under leases which, in accordance with GAAP, are capital leases, (c) guaranties of such Person of payment or collection of any obligations described in clauses (a) and (b) of other Persons; and</w:t>
      </w:r>
    </w:p>
    <w:p>
      <w:pPr>
        <w:spacing w:after="0" w:line="2" w:lineRule="exact"/>
        <w:rPr>
          <w:sz w:val="20"/>
          <w:szCs w:val="20"/>
          <w:color w:val="auto"/>
        </w:rPr>
      </w:pPr>
    </w:p>
    <w:p>
      <w:pPr>
        <w:jc w:val="both"/>
        <w:ind w:left="4" w:right="40" w:hanging="4"/>
        <w:spacing w:after="0" w:line="250" w:lineRule="auto"/>
        <w:tabs>
          <w:tab w:leader="none" w:pos="25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obligations of such Person under any synthetic lease, tax retention operating lease, off-balance sheet loan or similar off-balance sheet financing if the obligation under such synthetic lease, tax retention operating lease, off-balance sheet loan or similar off-balance sheet financing, as the case may be, is considered indebtedness for borrowed money for tax purposes but is classified as an operating lease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w:t>
      </w:r>
    </w:p>
    <w:p>
      <w:pPr>
        <w:spacing w:after="0" w:line="1" w:lineRule="exact"/>
        <w:rPr>
          <w:rFonts w:ascii="Times New Roman" w:cs="Times New Roman" w:eastAsia="Times New Roman" w:hAnsi="Times New Roman"/>
          <w:sz w:val="18"/>
          <w:szCs w:val="18"/>
          <w:color w:val="auto"/>
        </w:rPr>
      </w:pPr>
    </w:p>
    <w:p>
      <w:pPr>
        <w:ind w:left="4" w:right="200" w:hanging="4"/>
        <w:spacing w:after="0" w:line="260" w:lineRule="auto"/>
        <w:tabs>
          <w:tab w:leader="none" w:pos="2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clauses (a) and (b) include, in the case of obligations of the Borrower or any Subsidiary, only such obligations as are or should be shown as debt or capital lease liabilities on a consolidated balance sheet of the Borrower in accordance</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4"/>
          </w:cols>
          <w:pgMar w:left="436" w:top="270" w:right="479" w:bottom="1440" w:gutter="0" w:footer="0" w:header="0"/>
        </w:sectPr>
      </w:pPr>
    </w:p>
    <w:bookmarkStart w:id="20" w:name="page21"/>
    <w:bookmarkEnd w:id="20"/>
    <w:p>
      <w:pPr>
        <w:ind w:left="4" w:right="1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GAAP, (ii) clause (c) includes, in the case of guaranties granted by the Borrower or any Subsidiary, only such guaranties of obligations of another Person that are or should be shown as debt or capital lease liabilities on a consolidated balance sheet of such Person in accordance with GAAP, and</w:t>
      </w:r>
    </w:p>
    <w:p>
      <w:pPr>
        <w:spacing w:after="0" w:line="1" w:lineRule="exact"/>
        <w:rPr>
          <w:sz w:val="20"/>
          <w:szCs w:val="20"/>
          <w:color w:val="auto"/>
        </w:rPr>
      </w:pPr>
    </w:p>
    <w:p>
      <w:pPr>
        <w:ind w:left="4" w:right="160" w:hanging="4"/>
        <w:spacing w:after="0" w:line="260" w:lineRule="auto"/>
        <w:tabs>
          <w:tab w:leader="none" w:pos="31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any Person as a general partner of a partnership for Indebtedness of such partnership, if such partnership is not a Subsidiary of such Person, shall not constitute Indebtedness.</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Taxes other than Excluded Taxes.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Index Debt</w:t>
      </w:r>
      <w:r>
        <w:rPr>
          <w:rFonts w:ascii="Times New Roman" w:cs="Times New Roman" w:eastAsia="Times New Roman" w:hAnsi="Times New Roman"/>
          <w:sz w:val="18"/>
          <w:szCs w:val="18"/>
          <w:color w:val="auto"/>
        </w:rPr>
        <w:t>” means senior, unsecured, non-credit enhanced (except for any guaranty by EPD) Indebtedness of the Borrower.</w:t>
      </w:r>
    </w:p>
    <w:p>
      <w:pPr>
        <w:spacing w:after="0" w:line="225" w:lineRule="exact"/>
        <w:rPr>
          <w:sz w:val="20"/>
          <w:szCs w:val="20"/>
          <w:color w:val="auto"/>
        </w:rPr>
      </w:pPr>
    </w:p>
    <w:p>
      <w:pPr>
        <w:ind w:left="4" w:right="9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 Memorandum</w:t>
      </w:r>
      <w:r>
        <w:rPr>
          <w:rFonts w:ascii="Times New Roman" w:cs="Times New Roman" w:eastAsia="Times New Roman" w:hAnsi="Times New Roman"/>
          <w:sz w:val="18"/>
          <w:szCs w:val="18"/>
          <w:color w:val="auto"/>
        </w:rPr>
        <w:t>” means the Confidential Information Memorandum dated March 3, 2026 relating to the Borrower and the Transactions.</w:t>
      </w:r>
    </w:p>
    <w:p>
      <w:pPr>
        <w:spacing w:after="0" w:line="162"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xml:space="preserve">” means a request by the Borrower to convert or continue a Borrowing in accordance with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and being in the form of attached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right="2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(a) with respect to any ABR Loan, the last day of each March, June, September and December, and (b) with respect to any SOFR Loan, the last day of the Interest Period applicable to the Borrowing of which such Loan is a part and, in the case of a SOFR Borrowing with an Interest Period of more than three (3) months’ duration, each day that occurs an integral multiple of three (3) months after the first day of such Interest Period.</w:t>
      </w:r>
    </w:p>
    <w:p>
      <w:pPr>
        <w:spacing w:after="0" w:line="180"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with respect to any SOFR Borrowing, the period commencing on the date of such Borrowing and ending on the numerically corresponding day in the calendar month that is one, three or six months thereafter, as the Borrower may elect;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 if any Interest Period would end on a day other than a Business Day, such Interest Period shall be extended to the next succeeding Business Day unless, in the case of a SOFR Borrowing only, such next succeeding Business Day would fall in the next calendar month, in which case such Interest Period shall end on the next preceding Business Day and (ii) any Interest Period pertaining to a SOFR Borrowing that commences on the last Business Day of a calendar month (or on a day for which there is no numerically corresponding day in the last calendar month of such Interest Period) shall end on the last Business Day of the last calendar month of such Interest Period. For purposes of this definition, the date of a Borrowing initially shall be the date on which such Borrowing is made and thereafter shall be the effective date of the most recent conversion or continuation of such Borrowing.</w:t>
      </w:r>
    </w:p>
    <w:p>
      <w:pPr>
        <w:spacing w:after="0" w:line="192"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Insolvency Event</w:t>
      </w:r>
      <w:r>
        <w:rPr>
          <w:rFonts w:ascii="Times New Roman" w:cs="Times New Roman" w:eastAsia="Times New Roman" w:hAnsi="Times New Roman"/>
          <w:sz w:val="18"/>
          <w:szCs w:val="18"/>
          <w:color w:val="auto"/>
        </w:rPr>
        <w:t>” means that (i) a Lender or its Parent Company is insolvent, or is generally unable to pay its debts as they become due, or admits in writing its inability to pay its debts as they become due, or makes a general assignment for the benefit of its creditors, or (ii) such Lender or its Parent Company is the subject of a bankruptcy, insolvency, reorganization, liquidation or similar proceeding, or a receiver, trustee, conservator, intervenor or sequestrator or the like has been appointed for such Lender or its Parent Company, or such Lender or its Parent Company has taken any action in furtherance of or indicating its consent to or acquiescence in any such proceeding or appointment.</w:t>
      </w:r>
    </w:p>
    <w:p>
      <w:pPr>
        <w:spacing w:after="0" w:line="183" w:lineRule="exact"/>
        <w:rPr>
          <w:sz w:val="20"/>
          <w:szCs w:val="20"/>
          <w:color w:val="auto"/>
        </w:rPr>
      </w:pPr>
    </w:p>
    <w:p>
      <w:pPr>
        <w:ind w:left="4" w:right="18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Lenders</w:t>
      </w:r>
      <w:r>
        <w:rPr>
          <w:rFonts w:ascii="Times New Roman" w:cs="Times New Roman" w:eastAsia="Times New Roman" w:hAnsi="Times New Roman"/>
          <w:sz w:val="17"/>
          <w:szCs w:val="17"/>
          <w:color w:val="auto"/>
        </w:rPr>
        <w:t xml:space="preserve">” means the Persons listed on Schedule 2.01 and any other Person that shall have become a party hereto pursuant to an Assignment and Assumption or pursuant to </w:t>
      </w:r>
      <w:r>
        <w:rPr>
          <w:rFonts w:ascii="Times New Roman" w:cs="Times New Roman" w:eastAsia="Times New Roman" w:hAnsi="Times New Roman"/>
          <w:sz w:val="17"/>
          <w:szCs w:val="17"/>
          <w:u w:val="single" w:color="auto"/>
          <w:color w:val="auto"/>
        </w:rPr>
        <w:t>Section 2.01(b)</w:t>
      </w:r>
      <w:r>
        <w:rPr>
          <w:rFonts w:ascii="Times New Roman" w:cs="Times New Roman" w:eastAsia="Times New Roman" w:hAnsi="Times New Roman"/>
          <w:sz w:val="17"/>
          <w:szCs w:val="17"/>
          <w:color w:val="auto"/>
        </w:rPr>
        <w:t>, other than any such Person that ceases to be a party hereto pursuant to an Assignment and Assumption.</w:t>
      </w:r>
    </w:p>
    <w:p>
      <w:pPr>
        <w:spacing w:after="0" w:line="7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21" w:name="page22"/>
    <w:bookmarkEnd w:id="21"/>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relating to such asset and (c) in the case of securities, any purchase option, call or similar right of a third party with respect to such securities. For avoidance of doubt, operating leases are not “Liens”.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xml:space="preserve">” means the loans made by the Lenders to the Borrower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Manager</w:t>
      </w:r>
      <w:r>
        <w:rPr>
          <w:rFonts w:ascii="Times New Roman" w:cs="Times New Roman" w:eastAsia="Times New Roman" w:hAnsi="Times New Roman"/>
          <w:sz w:val="18"/>
          <w:szCs w:val="18"/>
          <w:color w:val="auto"/>
        </w:rPr>
        <w:t>” means Enterprise Products OLPGP, Inc., a Delaware corporation.</w:t>
      </w:r>
    </w:p>
    <w:p>
      <w:pPr>
        <w:spacing w:after="0" w:line="225"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March 15, 2000 Indenture</w:t>
      </w:r>
      <w:r>
        <w:rPr>
          <w:rFonts w:ascii="Times New Roman" w:cs="Times New Roman" w:eastAsia="Times New Roman" w:hAnsi="Times New Roman"/>
          <w:sz w:val="18"/>
          <w:szCs w:val="18"/>
          <w:color w:val="auto"/>
        </w:rPr>
        <w:t>” means that certain Indenture dated as of March 15, 2000, among the Borrower, EPD and U.S. Bank, National Association, successor-in-interest to Wachovia Bank, National Association, f/k/a First Union National Bank, as Trustee.</w:t>
      </w:r>
    </w:p>
    <w:p>
      <w:pPr>
        <w:spacing w:after="0" w:line="162"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Change</w:t>
      </w:r>
      <w:r>
        <w:rPr>
          <w:rFonts w:ascii="Times New Roman" w:cs="Times New Roman" w:eastAsia="Times New Roman" w:hAnsi="Times New Roman"/>
          <w:sz w:val="18"/>
          <w:szCs w:val="18"/>
          <w:color w:val="auto"/>
        </w:rPr>
        <w:t>” means a material adverse change, from that in effect on December 31, 2025, in the financial condition or results of operations of the Borrower and its consolidated Subsidiaries taken as a whole, as indicated in the most recent quarterly or annual financial statements, except as otherwise disclosed in the Borrower’s and/or EPD’s filings with the SEC prior to the date hereof.</w:t>
      </w:r>
    </w:p>
    <w:p>
      <w:pPr>
        <w:spacing w:after="0" w:line="1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the financial condition or results of operations of the Borrower and its consolidated Subsidiaries taken as a whole, as indicated in the most recent quarterly or annual financial statements.</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Indebtedness (other than the Loans), of any one or more of the Borrower and its Subsidiaries (other than Project Finance Subsidiaries) in an aggregate principal amount exceeding $100,000,000.</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Project</w:t>
      </w:r>
      <w:r>
        <w:rPr>
          <w:rFonts w:ascii="Times New Roman" w:cs="Times New Roman" w:eastAsia="Times New Roman" w:hAnsi="Times New Roman"/>
          <w:sz w:val="18"/>
          <w:szCs w:val="18"/>
          <w:color w:val="auto"/>
        </w:rPr>
        <w:t>” means the construction or expansion of any capital project of the Borrower or any of its Subsidiaries, the aggregate capital cost of which exceeds $50,000,000.</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Project EBITDA Adjustments</w:t>
      </w:r>
      <w:r>
        <w:rPr>
          <w:rFonts w:ascii="Times New Roman" w:cs="Times New Roman" w:eastAsia="Times New Roman" w:hAnsi="Times New Roman"/>
          <w:sz w:val="18"/>
          <w:szCs w:val="18"/>
          <w:color w:val="auto"/>
        </w:rPr>
        <w:t>” shall mean, with respect to each Material Project:</w:t>
      </w:r>
    </w:p>
    <w:p>
      <w:pPr>
        <w:spacing w:after="0" w:line="225" w:lineRule="exact"/>
        <w:rPr>
          <w:sz w:val="20"/>
          <w:szCs w:val="20"/>
          <w:color w:val="auto"/>
        </w:rPr>
      </w:pPr>
    </w:p>
    <w:p>
      <w:pPr>
        <w:ind w:firstLine="436"/>
        <w:spacing w:after="0" w:line="255" w:lineRule="auto"/>
        <w:tabs>
          <w:tab w:leader="none" w:pos="7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Commercial Operation Date of a Material Project (but including the fiscal quarter in which such Commercial Operation Date occurs), a percentage (based on the then-current completion percentage of such Material Project) of an amount to be approved by the Administrative Agent as the projected Consolidated EBITDA of Borrower and its Subsidiaries attributable to such Material Project for the first 12-month period following the scheduled Commercial Operation Date of such Material Project (such amount to be determined based on customer contracts or tariff-based customers relating to such Material Project, the creditworthiness of the other parties to such contracts or such tariff-based customers, and projected revenues from such contracts, tariffs, capital costs and expenses, scheduled Commercial Operation Date, oil and gas reserve and production estimates, commodity price assumptions and other factors deemed appropriate by Administrative Agent), which may, at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2" w:name="page23"/>
    <w:bookmarkEnd w:id="22"/>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Borrower’s option, be added to actual Consolidated EBITDA for the Borrower and its Subsidiaries for the fiscal quarter in which construction of such Material Project commences and for each fiscal quarter thereafter until the Commercial Operation Date of such Material Project (including the fiscal quarter in which such Commercial Operation Date occurs, but net of any actual Consolidated EBITDA of the Borrower and its Subsidiaries attributable to such Material Project following such Commercial Operation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actual Commercial Operation Date does not occur by the scheduled Commercial Operation Date, then the foregoing amount shall be reduced, for quarters ending after the scheduled Commercial Operation Date to (but excluding) the first full quarter after its Commercial Operation Date, by the following percentage amounts depending on the period of delay (based on the period of actual delay or then-estimated delay, whichever is longer): (i) 90 days or less, 0%, (ii) longer than 90 days, but not more than 180 days, 25%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(iii) longer than 180 days but not more than 270 days, 50%, and (iv) longer than 270 days, 100%; and</w:t>
      </w:r>
    </w:p>
    <w:p>
      <w:pPr>
        <w:spacing w:after="0" w:line="192" w:lineRule="exact"/>
        <w:rPr>
          <w:sz w:val="20"/>
          <w:szCs w:val="20"/>
          <w:color w:val="auto"/>
        </w:rPr>
      </w:pPr>
    </w:p>
    <w:p>
      <w:pPr>
        <w:ind w:right="140" w:firstLine="436"/>
        <w:spacing w:after="0" w:line="258" w:lineRule="auto"/>
        <w:tabs>
          <w:tab w:leader="none" w:pos="72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with the first full fiscal quarter following the Commercial Operation Date of a Material Project and for the two immediately succeeding fiscal quarters, an amount to be approved by the Administrative Agent as the projected Consolidated EBITDA of Borrower and its Subsidiaries attributable to such Material Project (determined in the same manner as set forth in clause (A) above) for the balance of the four full fiscal quarter period following such Commercial Operation Date, which may, at the Borrower’s option, be added to actual Consolidated EBITDA for the Borrower and its Subsidiaries for such fiscal quarters.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Notwithstanding the foregoing:</w:t>
      </w:r>
    </w:p>
    <w:p>
      <w:pPr>
        <w:spacing w:after="0" w:line="225" w:lineRule="exact"/>
        <w:rPr>
          <w:sz w:val="20"/>
          <w:szCs w:val="20"/>
          <w:color w:val="auto"/>
        </w:rPr>
      </w:pPr>
    </w:p>
    <w:p>
      <w:pPr>
        <w:ind w:left="660" w:hanging="224"/>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additions shall be allowed with respect to any Material Project unless:</w:t>
      </w:r>
    </w:p>
    <w:p>
      <w:pPr>
        <w:spacing w:after="0" w:line="225" w:lineRule="exact"/>
        <w:rPr>
          <w:rFonts w:ascii="Times New Roman" w:cs="Times New Roman" w:eastAsia="Times New Roman" w:hAnsi="Times New Roman"/>
          <w:sz w:val="18"/>
          <w:szCs w:val="18"/>
          <w:color w:val="auto"/>
        </w:rPr>
      </w:pPr>
    </w:p>
    <w:p>
      <w:pPr>
        <w:ind w:left="440" w:firstLine="419"/>
        <w:spacing w:after="0" w:line="261" w:lineRule="auto"/>
        <w:tabs>
          <w:tab w:leader="none" w:pos="110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later than 30 days prior to the delivery of any certificate required by the terms and provisions of </w:t>
      </w:r>
      <w:r>
        <w:rPr>
          <w:rFonts w:ascii="Times New Roman" w:cs="Times New Roman" w:eastAsia="Times New Roman" w:hAnsi="Times New Roman"/>
          <w:sz w:val="18"/>
          <w:szCs w:val="18"/>
          <w:u w:val="single" w:color="auto"/>
          <w:color w:val="auto"/>
        </w:rPr>
        <w:t>Section 5.01(e)</w:t>
      </w:r>
      <w:r>
        <w:rPr>
          <w:rFonts w:ascii="Times New Roman" w:cs="Times New Roman" w:eastAsia="Times New Roman" w:hAnsi="Times New Roman"/>
          <w:sz w:val="18"/>
          <w:szCs w:val="18"/>
          <w:color w:val="auto"/>
        </w:rPr>
        <w:t xml:space="preserve"> to the extent Material Project EBITDA Adjustments will be made to Consolidated EBITDA in determining compliance with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the Borrower shall have delivered to the Administrative Agent written pro forma projections of Consolidated EBITDA of the Borrower and its Subsidiaries attributable to such Material Project and</w:t>
      </w:r>
    </w:p>
    <w:p>
      <w:pPr>
        <w:spacing w:after="0" w:line="179" w:lineRule="exact"/>
        <w:rPr>
          <w:rFonts w:ascii="Times New Roman" w:cs="Times New Roman" w:eastAsia="Times New Roman" w:hAnsi="Times New Roman"/>
          <w:sz w:val="18"/>
          <w:szCs w:val="18"/>
          <w:color w:val="auto"/>
        </w:rPr>
      </w:pPr>
    </w:p>
    <w:p>
      <w:pPr>
        <w:ind w:left="440" w:right="400" w:firstLine="419"/>
        <w:spacing w:after="0" w:line="266" w:lineRule="auto"/>
        <w:tabs>
          <w:tab w:leader="none" w:pos="111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such certificate is required to be delivered, the Administrative Agent shall have approved (such approval not to be unreasonably withheld) such projections and shall have received such other information and documentation as the Administrative Agent may reasonably request, all in form and substance satisfactory to the Administrative Agent, and</w:t>
      </w:r>
    </w:p>
    <w:p>
      <w:pPr>
        <w:spacing w:after="0" w:line="176" w:lineRule="exact"/>
        <w:rPr>
          <w:sz w:val="20"/>
          <w:szCs w:val="20"/>
          <w:color w:val="auto"/>
        </w:rPr>
      </w:pPr>
    </w:p>
    <w:p>
      <w:pPr>
        <w:ind w:right="140" w:firstLine="436"/>
        <w:spacing w:after="0" w:line="266" w:lineRule="auto"/>
        <w:tabs>
          <w:tab w:leader="none" w:pos="70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all Material Project EBITDA Adjustments during any period shall be limited to 15% of the total actual Consolidated EBITDA of the Borrower and its Subsidiaries for such period (which total actual Consolidated EBITDA shall be determined without including any Material Project EBITDA Adjustments).</w:t>
      </w:r>
    </w:p>
    <w:p>
      <w:pPr>
        <w:spacing w:after="0" w:line="176"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means each Subsidiary of the Borrower that, as of the last day of the fiscal year of the Borrower most recently ended prior to the relevant determination of Material Subsidiaries, has a net worth determined in accordance with GAAP that is greater than 10% of the Consolidated Net Worth of the Borrower as of such day.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23" w:name="page24"/>
    <w:bookmarkEnd w:id="23"/>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means the date 364 days after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if the Borrower has elected the Term-Out option in accordance with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shall mean the date one year and 364 days after the Effective Date (the “</w:t>
      </w:r>
      <w:r>
        <w:rPr>
          <w:rFonts w:ascii="Times New Roman" w:cs="Times New Roman" w:eastAsia="Times New Roman" w:hAnsi="Times New Roman"/>
          <w:sz w:val="18"/>
          <w:szCs w:val="18"/>
          <w:u w:val="single" w:color="auto"/>
          <w:color w:val="auto"/>
        </w:rPr>
        <w:t>Term Loan Maturity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either case, if such date is not a Business Day, then the Maturity Date shall be the Business Day immediately preceding such date.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Multi-Year Credit Facility</w:t>
      </w:r>
      <w:r>
        <w:rPr>
          <w:rFonts w:ascii="Times New Roman" w:cs="Times New Roman" w:eastAsia="Times New Roman" w:hAnsi="Times New Roman"/>
          <w:sz w:val="18"/>
          <w:szCs w:val="18"/>
          <w:color w:val="auto"/>
        </w:rPr>
        <w:t>” means the revolving credit facility of the Borrower under that certain Revolving Credit Agreement dated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2023, among the Borrower, Wells Fargo Bank, National Association, as administrative agent, and the lenders party thereto, as amended by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Amendment to Revolving Credit Agreement dated as of March 28, 2025, together with any and all other amendments and supplements thereto.</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means, at any time, a Lender that is not a Defaulting Lender.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xml:space="preserve">” means any promissory notes issued by the Borrower pursuant to </w:t>
      </w:r>
      <w:r>
        <w:rPr>
          <w:rFonts w:ascii="Times New Roman" w:cs="Times New Roman" w:eastAsia="Times New Roman" w:hAnsi="Times New Roman"/>
          <w:sz w:val="18"/>
          <w:szCs w:val="18"/>
          <w:u w:val="single" w:color="auto"/>
          <w:color w:val="auto"/>
        </w:rPr>
        <w:t>Section 2.10(e)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U.S. Department of the Treasury.</w:t>
      </w:r>
    </w:p>
    <w:p>
      <w:pPr>
        <w:spacing w:after="0" w:line="225"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any and all present or future stamp or documentary taxes or any other excise or property taxes, charges or similar levies arising from any payment made hereunder or from the execution, delivery or registration of, or otherwise with respect to, this Agreement.</w:t>
      </w:r>
    </w:p>
    <w:p>
      <w:pPr>
        <w:spacing w:after="0" w:line="16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Company</w:t>
      </w:r>
      <w:r>
        <w:rPr>
          <w:rFonts w:ascii="Times New Roman" w:cs="Times New Roman" w:eastAsia="Times New Roman" w:hAnsi="Times New Roman"/>
          <w:sz w:val="18"/>
          <w:szCs w:val="18"/>
          <w:color w:val="auto"/>
        </w:rPr>
        <w:t>” means, with respect to a Lender (i) the bank holding company (as defined in Federal Reserve Board Regulation Y) of such Lender, if any, (ii) with respect to a Foreign Lender, any entity which is a parent of such Foreign Lender, and/or (iii) any Person owning, beneficially or of record, directly or indirectly, a majority of the Equity Interests of such Lender.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8.02(a)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referred to and defined in ERISA and any successor entity performing similar functions.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680" w:hanging="244"/>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upon rights-of-way for pipeline purposes;</w:t>
      </w:r>
    </w:p>
    <w:p>
      <w:pPr>
        <w:spacing w:after="0" w:line="225" w:lineRule="exact"/>
        <w:rPr>
          <w:rFonts w:ascii="Times New Roman" w:cs="Times New Roman" w:eastAsia="Times New Roman" w:hAnsi="Times New Roman"/>
          <w:sz w:val="18"/>
          <w:szCs w:val="18"/>
          <w:color w:val="auto"/>
        </w:rPr>
      </w:pPr>
    </w:p>
    <w:p>
      <w:pPr>
        <w:ind w:right="40" w:firstLine="436"/>
        <w:spacing w:after="0" w:line="258" w:lineRule="auto"/>
        <w:tabs>
          <w:tab w:leader="none" w:pos="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 or any right reserved to, or vested in, any municipality or public authority by the terms of any right, power, franchise, grant, license, permit or by any provision of law, to purchase or recapture or to designate a purchaser of, any property;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4" w:name="page25"/>
    <w:bookmarkEnd w:id="24"/>
    <w:p>
      <w:pPr>
        <w:ind w:left="-20" w:right="120" w:firstLine="436"/>
        <w:spacing w:after="0" w:line="282" w:lineRule="auto"/>
        <w:tabs>
          <w:tab w:leader="none" w:pos="6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for taxes, assessments, charges and levies which are (i) for the then current year, (ii) not at the time delinquent, or (iii) delinquent but the validity or amount of which is being contested at the time by the Borrower, any Subsidiary or EPD in good faith by appropriate proceedings;</w:t>
      </w:r>
    </w:p>
    <w:p>
      <w:pPr>
        <w:spacing w:after="0" w:line="161" w:lineRule="exact"/>
        <w:rPr>
          <w:rFonts w:ascii="Times New Roman" w:cs="Times New Roman" w:eastAsia="Times New Roman" w:hAnsi="Times New Roman"/>
          <w:sz w:val="18"/>
          <w:szCs w:val="18"/>
          <w:color w:val="auto"/>
        </w:rPr>
      </w:pPr>
    </w:p>
    <w:p>
      <w:pPr>
        <w:ind w:left="-20" w:right="120" w:firstLine="436"/>
        <w:spacing w:after="0" w:line="282" w:lineRule="auto"/>
        <w:tabs>
          <w:tab w:leader="none" w:pos="6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or to secure performance of, leases, other than capital leases, or any lien securing industrial development, pollution control or similar revenue bonds;</w:t>
      </w:r>
    </w:p>
    <w:p>
      <w:pPr>
        <w:spacing w:after="0" w:line="161" w:lineRule="exact"/>
        <w:rPr>
          <w:rFonts w:ascii="Times New Roman" w:cs="Times New Roman" w:eastAsia="Times New Roman" w:hAnsi="Times New Roman"/>
          <w:sz w:val="18"/>
          <w:szCs w:val="18"/>
          <w:color w:val="auto"/>
        </w:rPr>
      </w:pPr>
    </w:p>
    <w:p>
      <w:pPr>
        <w:ind w:left="-20" w:right="120" w:firstLine="436"/>
        <w:spacing w:after="0" w:line="282" w:lineRule="auto"/>
        <w:tabs>
          <w:tab w:leader="none" w:pos="6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property or assets acquired or sold by the Borrower, any Subsidiary or EPD resulting from the exercise of any rights arising out of defaults on receivables;</w:t>
      </w:r>
    </w:p>
    <w:p>
      <w:pPr>
        <w:spacing w:after="0" w:line="161" w:lineRule="exact"/>
        <w:rPr>
          <w:rFonts w:ascii="Times New Roman" w:cs="Times New Roman" w:eastAsia="Times New Roman" w:hAnsi="Times New Roman"/>
          <w:sz w:val="18"/>
          <w:szCs w:val="18"/>
          <w:color w:val="auto"/>
        </w:rPr>
      </w:pPr>
    </w:p>
    <w:p>
      <w:pPr>
        <w:ind w:left="-20" w:right="400" w:firstLine="436"/>
        <w:spacing w:after="0" w:line="282" w:lineRule="auto"/>
        <w:tabs>
          <w:tab w:leader="none" w:pos="64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in favor of the Borrower, any Subsidiary or EPD; or any lien upon any property or assets of the Borrower, any Subsidiary or EPD permitted under the March 15, 2000 Indenture, or any replacement indenture containing similar terms and conditions with respect thereto;</w:t>
      </w:r>
    </w:p>
    <w:p>
      <w:pPr>
        <w:spacing w:after="0" w:line="161" w:lineRule="exact"/>
        <w:rPr>
          <w:rFonts w:ascii="Times New Roman" w:cs="Times New Roman" w:eastAsia="Times New Roman" w:hAnsi="Times New Roman"/>
          <w:sz w:val="18"/>
          <w:szCs w:val="18"/>
          <w:color w:val="auto"/>
        </w:rPr>
      </w:pPr>
    </w:p>
    <w:p>
      <w:pPr>
        <w:jc w:val="both"/>
        <w:ind w:left="-20" w:right="100" w:firstLine="436"/>
        <w:spacing w:after="0" w:line="261" w:lineRule="auto"/>
        <w:tabs>
          <w:tab w:leader="none" w:pos="6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the Borrower, any Subsidiary or EPD for the purpose of financing all or any part of the purchase price of, or the cost of constructing, developing, repairing or improving, the property or assets subject to such lien;</w:t>
      </w:r>
    </w:p>
    <w:p>
      <w:pPr>
        <w:spacing w:after="0" w:line="179" w:lineRule="exact"/>
        <w:rPr>
          <w:rFonts w:ascii="Times New Roman" w:cs="Times New Roman" w:eastAsia="Times New Roman" w:hAnsi="Times New Roman"/>
          <w:sz w:val="18"/>
          <w:szCs w:val="18"/>
          <w:color w:val="auto"/>
        </w:rPr>
      </w:pPr>
    </w:p>
    <w:p>
      <w:pPr>
        <w:ind w:left="-20" w:right="620" w:firstLine="436"/>
        <w:spacing w:after="0" w:line="312" w:lineRule="auto"/>
        <w:tabs>
          <w:tab w:leader="none" w:pos="67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lien incurred in the ordinary course of business in connection with workmen’s compensation, unemployment insurance, temporary disability, social security, retiree health or similar laws or regulations or to secure obligations imposed by statute or governmental regulations;</w:t>
      </w:r>
    </w:p>
    <w:p>
      <w:pPr>
        <w:spacing w:after="0" w:line="139" w:lineRule="exact"/>
        <w:rPr>
          <w:rFonts w:ascii="Times New Roman" w:cs="Times New Roman" w:eastAsia="Times New Roman" w:hAnsi="Times New Roman"/>
          <w:sz w:val="17"/>
          <w:szCs w:val="17"/>
          <w:color w:val="auto"/>
        </w:rPr>
      </w:pPr>
    </w:p>
    <w:p>
      <w:pPr>
        <w:jc w:val="both"/>
        <w:ind w:left="-20" w:firstLine="436"/>
        <w:spacing w:after="0" w:line="266"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any Person to secure obligations under provisions of any letters of credit, bank guarantees, bonds or surety obligations required or requested by any Governmental Authority in connection with any contract or statute; or any lien upon or deposits of any assets to secure performance of bids, trade contracts, leases or statutory obligations;</w:t>
      </w:r>
    </w:p>
    <w:p>
      <w:pPr>
        <w:spacing w:after="0" w:line="175" w:lineRule="exact"/>
        <w:rPr>
          <w:rFonts w:ascii="Times New Roman" w:cs="Times New Roman" w:eastAsia="Times New Roman" w:hAnsi="Times New Roman"/>
          <w:sz w:val="18"/>
          <w:szCs w:val="18"/>
          <w:color w:val="auto"/>
        </w:rPr>
      </w:pPr>
    </w:p>
    <w:p>
      <w:pPr>
        <w:ind w:left="-20" w:right="20" w:firstLine="436"/>
        <w:spacing w:after="0" w:line="256"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property or assets created at the time of acquisition of such property or assets by the Borrower, any Subsidiary or EPD or within one year after such time to secure all or a portion of the purchase price for such property or assets or debt incurred to finance such purchase price, whether such debt was incurred prior to, at the time of or within one year after the date of such acquisition; or 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60" w:top="270" w:right="459" w:bottom="1440" w:gutter="0" w:footer="0" w:header="0"/>
        </w:sectPr>
      </w:pPr>
    </w:p>
    <w:bookmarkStart w:id="25" w:name="page26"/>
    <w:bookmarkEnd w:id="25"/>
    <w:p>
      <w:pPr>
        <w:ind w:left="704" w:hanging="264"/>
        <w:spacing w:after="0"/>
        <w:tabs>
          <w:tab w:leader="none" w:pos="70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lien upon any property or assets (i) existing thereon at the time of the acquisition thereof by the Borrower, any Subsidiary or EPD,</w:t>
      </w:r>
    </w:p>
    <w:p>
      <w:pPr>
        <w:spacing w:after="0" w:line="27" w:lineRule="exact"/>
        <w:rPr>
          <w:rFonts w:ascii="Times New Roman" w:cs="Times New Roman" w:eastAsia="Times New Roman" w:hAnsi="Times New Roman"/>
          <w:sz w:val="18"/>
          <w:szCs w:val="18"/>
          <w:color w:val="auto"/>
        </w:rPr>
      </w:pPr>
    </w:p>
    <w:p>
      <w:pPr>
        <w:ind w:left="4" w:hanging="4"/>
        <w:spacing w:after="0" w:line="255" w:lineRule="auto"/>
        <w:tabs>
          <w:tab w:leader="none" w:pos="26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thereon at the time such Person becomes a Subsidiary by acquisition, merger or otherwise, or (iii) acquired by any Person after the time such Person becomes a Subsidiary by acquisition, merger or otherwise, to the extent such lien is created by security documents existing at the time such Person becomes a Subsidiary and not added to such security documents in contemplation thereof;</w:t>
      </w:r>
    </w:p>
    <w:p>
      <w:pPr>
        <w:spacing w:after="0" w:line="185" w:lineRule="exact"/>
        <w:rPr>
          <w:rFonts w:ascii="Times New Roman" w:cs="Times New Roman" w:eastAsia="Times New Roman" w:hAnsi="Times New Roman"/>
          <w:sz w:val="18"/>
          <w:szCs w:val="18"/>
          <w:color w:val="auto"/>
        </w:rPr>
      </w:pPr>
    </w:p>
    <w:p>
      <w:pPr>
        <w:ind w:left="4" w:right="140" w:firstLine="436"/>
        <w:spacing w:after="0" w:line="266" w:lineRule="auto"/>
        <w:tabs>
          <w:tab w:leader="none" w:pos="65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or order as a result of any proceeding before any court or regulatory body that is being contested in good faith, and liens which secure a judgment or other court-ordered award or settlement as to which the Borrower, the applicable Subsidiary or EPD has not exhausted its appellate rights;</w:t>
      </w:r>
    </w:p>
    <w:p>
      <w:pPr>
        <w:spacing w:after="0" w:line="175" w:lineRule="exact"/>
        <w:rPr>
          <w:rFonts w:ascii="Times New Roman" w:cs="Times New Roman" w:eastAsia="Times New Roman" w:hAnsi="Times New Roman"/>
          <w:sz w:val="18"/>
          <w:szCs w:val="18"/>
          <w:color w:val="auto"/>
        </w:rPr>
      </w:pPr>
    </w:p>
    <w:p>
      <w:pPr>
        <w:ind w:left="4" w:right="60" w:firstLine="436"/>
        <w:spacing w:after="0" w:line="256" w:lineRule="auto"/>
        <w:tabs>
          <w:tab w:leader="none" w:pos="74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refinancing, refunding or replacement (or successive extensions, renewals, refinancing, refunding or replacements) of liens, in whole or in part, referred to in clauses (a) through (l) above;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expenses of the Borrower, its Subsidiaries and EPD (including any premium) incurred in connection with such extension, renewal, refinancing, refunding or replacement; or</w:t>
      </w:r>
    </w:p>
    <w:p>
      <w:pPr>
        <w:spacing w:after="0" w:line="187" w:lineRule="exact"/>
        <w:rPr>
          <w:rFonts w:ascii="Times New Roman" w:cs="Times New Roman" w:eastAsia="Times New Roman" w:hAnsi="Times New Roman"/>
          <w:sz w:val="18"/>
          <w:szCs w:val="18"/>
          <w:color w:val="auto"/>
        </w:rPr>
      </w:pPr>
    </w:p>
    <w:p>
      <w:pPr>
        <w:ind w:left="4" w:right="480" w:firstLine="436"/>
        <w:spacing w:after="0" w:line="282" w:lineRule="auto"/>
        <w:tabs>
          <w:tab w:leader="none" w:pos="69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resulting from the deposit of moneys or evidence of indebtedness in trust for the purpose of defeasing debt of the Borrower, any Subsidiary or EPD.</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Sale/Leaseback Transactions</w:t>
      </w:r>
      <w:r>
        <w:rPr>
          <w:rFonts w:ascii="Times New Roman" w:cs="Times New Roman" w:eastAsia="Times New Roman" w:hAnsi="Times New Roman"/>
          <w:sz w:val="18"/>
          <w:szCs w:val="18"/>
          <w:color w:val="auto"/>
        </w:rPr>
        <w:t>” means any Sale/Leaseback Transaction:</w:t>
      </w:r>
    </w:p>
    <w:p>
      <w:pPr>
        <w:spacing w:after="0" w:line="225" w:lineRule="exact"/>
        <w:rPr>
          <w:sz w:val="20"/>
          <w:szCs w:val="20"/>
          <w:color w:val="auto"/>
        </w:rPr>
      </w:pPr>
    </w:p>
    <w:p>
      <w:pPr>
        <w:jc w:val="both"/>
        <w:ind w:left="4" w:right="680" w:firstLine="436"/>
        <w:spacing w:after="0" w:line="266" w:lineRule="auto"/>
        <w:tabs>
          <w:tab w:leader="none" w:pos="68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 or</w:t>
      </w:r>
    </w:p>
    <w:p>
      <w:pPr>
        <w:spacing w:after="0" w:line="17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involves a lease for a period, including renewals, of not more than three years; or</w:t>
      </w:r>
    </w:p>
    <w:p>
      <w:pPr>
        <w:spacing w:after="0" w:line="225" w:lineRule="exact"/>
        <w:rPr>
          <w:rFonts w:ascii="Times New Roman" w:cs="Times New Roman" w:eastAsia="Times New Roman" w:hAnsi="Times New Roman"/>
          <w:sz w:val="18"/>
          <w:szCs w:val="18"/>
          <w:color w:val="auto"/>
        </w:rPr>
      </w:pPr>
    </w:p>
    <w:p>
      <w:pPr>
        <w:ind w:left="4" w:right="40" w:firstLine="436"/>
        <w:spacing w:after="0" w:line="266" w:lineRule="auto"/>
        <w:tabs>
          <w:tab w:leader="none" w:pos="68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any Subsidiary or EPD would be entitled to incur Indebtedness, in a principal amount equal to the Attributable Indebtedness with respect to such Sale/Leaseback Transaction, secured by a Lien on the property subject to such Sale/Leaseback Transaction pursuant to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without equally and ratably securing the Indebtedness under this Agreement pursuant to such Section; or</w:t>
      </w:r>
    </w:p>
    <w:p>
      <w:pPr>
        <w:spacing w:after="0" w:line="175" w:lineRule="exact"/>
        <w:rPr>
          <w:rFonts w:ascii="Times New Roman" w:cs="Times New Roman" w:eastAsia="Times New Roman" w:hAnsi="Times New Roman"/>
          <w:sz w:val="18"/>
          <w:szCs w:val="18"/>
          <w:color w:val="auto"/>
        </w:rPr>
      </w:pPr>
    </w:p>
    <w:p>
      <w:pPr>
        <w:ind w:left="4" w:right="220" w:firstLine="436"/>
        <w:spacing w:after="0" w:line="261" w:lineRule="auto"/>
        <w:tabs>
          <w:tab w:leader="none" w:pos="69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any Subsidiary or EPD, within a one-year period after such Sale/Leaseback Transaction, applies or causes to be applied an amount not less than the Attributable Indebtedness from such Sale/Leaseback Transaction to (a) the prepayment, repayment, redemption, reduction or retirement of any Indebtedness of the Borrower, any Subsidiary or EPD that is not subordinated to the Indebtedness under this Agreement, or (b) the expenditure or expenditures for Principal Property used or to be used in the ordinary course of business of the Borrower, its Subsidiaries or EPD.</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70" w:right="459" w:bottom="1440" w:gutter="0" w:footer="0" w:header="0"/>
        </w:sectPr>
      </w:pPr>
    </w:p>
    <w:bookmarkStart w:id="26" w:name="page27"/>
    <w:bookmarkEnd w:id="26"/>
    <w:p>
      <w:pPr>
        <w:ind w:left="4" w:right="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provisions of this definition, any Sale/Leaseback Transaction not covered by clauses (a) through (d), inclusive, of this definition, shall nonetheless be a Permitted Sale/Leaseback Transaction if the Attributable Indebtedness from such Sale/Leaseback Transaction, together with the aggregate principal amount of outstanding Indebtedness (other than Indebtedness under this Agreement and Indebtedness under the March 15, 2000 Indenture) secured by Liens other than Permitted Liens upon Principal Properties, does not exceed 10% of Consolidated Net Tangible Assets.</w:t>
      </w:r>
    </w:p>
    <w:p>
      <w:pPr>
        <w:spacing w:after="0" w:line="164"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rate of interest per annum publicly announced from time to time by Citibank, N.A. as its prime rate in effect. Each change in the Prime Rate shall be effective from and including the date such change is publicly announced as being effective.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Property</w:t>
      </w:r>
      <w:r>
        <w:rPr>
          <w:rFonts w:ascii="Times New Roman" w:cs="Times New Roman" w:eastAsia="Times New Roman" w:hAnsi="Times New Roman"/>
          <w:sz w:val="18"/>
          <w:szCs w:val="18"/>
          <w:color w:val="auto"/>
        </w:rPr>
        <w:t>” means whether owned or leased on the date hereof or thereafter acquired:</w:t>
      </w:r>
    </w:p>
    <w:p>
      <w:pPr>
        <w:spacing w:after="0" w:line="225" w:lineRule="exact"/>
        <w:rPr>
          <w:sz w:val="20"/>
          <w:szCs w:val="20"/>
          <w:color w:val="auto"/>
        </w:rPr>
      </w:pPr>
    </w:p>
    <w:p>
      <w:pPr>
        <w:ind w:left="4" w:right="420" w:firstLine="436"/>
        <w:spacing w:after="0" w:line="266" w:lineRule="auto"/>
        <w:tabs>
          <w:tab w:leader="none" w:pos="68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pipeline assets of the Borrower, any Subsidiary or EPD, including any related facilities employed in the transportation, distribution, storage or marketing of refined petroleum products, natural gas liquids, and petrochemicals, that are located in the United States of America or any territory or political subdivision thereof; and</w:t>
      </w:r>
    </w:p>
    <w:p>
      <w:pPr>
        <w:spacing w:after="0" w:line="175" w:lineRule="exact"/>
        <w:rPr>
          <w:rFonts w:ascii="Times New Roman" w:cs="Times New Roman" w:eastAsia="Times New Roman" w:hAnsi="Times New Roman"/>
          <w:sz w:val="18"/>
          <w:szCs w:val="18"/>
          <w:color w:val="auto"/>
        </w:rPr>
      </w:pPr>
    </w:p>
    <w:p>
      <w:pPr>
        <w:ind w:left="4" w:right="20" w:firstLine="436"/>
        <w:spacing w:after="0" w:line="282" w:lineRule="auto"/>
        <w:tabs>
          <w:tab w:leader="none" w:pos="69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processing or manufacturing plant or terminal owned or leased by the Borrower, any Subsidiary or EPD that is located in the United States or any territory or political subdivision thereof;</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except, in the case of either of the foregoing clauses (a) or (b):</w:t>
      </w:r>
    </w:p>
    <w:p>
      <w:pPr>
        <w:spacing w:after="0" w:line="117" w:lineRule="exact"/>
        <w:rPr>
          <w:sz w:val="20"/>
          <w:szCs w:val="20"/>
          <w:color w:val="auto"/>
        </w:rPr>
      </w:pPr>
    </w:p>
    <w:p>
      <w:pPr>
        <w:ind w:left="444" w:right="300" w:firstLine="419"/>
        <w:spacing w:after="0" w:line="282" w:lineRule="auto"/>
        <w:tabs>
          <w:tab w:leader="none" w:pos="108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assets consisting of inventories, furniture, office fixtures and equipment (including data processing equipment), vehicles and equipment used on, or useful with, vehicles; and</w:t>
      </w:r>
    </w:p>
    <w:p>
      <w:pPr>
        <w:spacing w:after="0" w:line="53" w:lineRule="exact"/>
        <w:rPr>
          <w:rFonts w:ascii="Times New Roman" w:cs="Times New Roman" w:eastAsia="Times New Roman" w:hAnsi="Times New Roman"/>
          <w:sz w:val="18"/>
          <w:szCs w:val="18"/>
          <w:color w:val="auto"/>
        </w:rPr>
      </w:pPr>
    </w:p>
    <w:p>
      <w:pPr>
        <w:ind w:left="444" w:right="300" w:firstLine="419"/>
        <w:spacing w:after="0" w:line="282" w:lineRule="auto"/>
        <w:tabs>
          <w:tab w:leader="none" w:pos="113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assets, plant or terminal which, in the opinion of the Board of Directors (as defined in the March 15, 2000 Indenture), is not material in relation to the activities of the Borrower or of EPD and its subsidiaries taken as a whole.</w:t>
      </w:r>
    </w:p>
    <w:p>
      <w:pPr>
        <w:spacing w:after="0" w:line="162"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Program</w:t>
      </w:r>
      <w:r>
        <w:rPr>
          <w:rFonts w:ascii="Times New Roman" w:cs="Times New Roman" w:eastAsia="Times New Roman" w:hAnsi="Times New Roman"/>
          <w:sz w:val="18"/>
          <w:szCs w:val="18"/>
          <w:color w:val="auto"/>
        </w:rPr>
        <w:t>” means the buy-back program initiated by EPD whereby EPD or the Borrower may after January 31, 2019 buy back up to the number of publicly held Common Units the aggregate purchase price of which is $2,000,000,000.</w:t>
      </w:r>
    </w:p>
    <w:p>
      <w:pPr>
        <w:spacing w:after="0" w:line="162" w:lineRule="exact"/>
        <w:rPr>
          <w:sz w:val="20"/>
          <w:szCs w:val="20"/>
          <w:color w:val="auto"/>
        </w:rPr>
      </w:pPr>
    </w:p>
    <w:p>
      <w:pPr>
        <w:ind w:left="4" w:right="8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Project Finance Subsidiaries</w:t>
      </w:r>
      <w:r>
        <w:rPr>
          <w:rFonts w:ascii="Times New Roman" w:cs="Times New Roman" w:eastAsia="Times New Roman" w:hAnsi="Times New Roman"/>
          <w:sz w:val="17"/>
          <w:szCs w:val="17"/>
          <w:color w:val="auto"/>
        </w:rPr>
        <w:t>” means a Subsidiary that is (A) created principally to (i) construct or acquire any asset or project that will be or is financed solely with Project Financing for such asset or project, related equity investments and any loans to, or capital contributions in, such Subsidiary that are not prohibited hereby, (ii) own an Equity Interest in a Project Finance Subsidiary, and/or (iii) own an interest in any such asset or project and</w:t>
      </w:r>
    </w:p>
    <w:p>
      <w:pPr>
        <w:spacing w:after="0" w:line="2" w:lineRule="exact"/>
        <w:rPr>
          <w:sz w:val="20"/>
          <w:szCs w:val="20"/>
          <w:color w:val="auto"/>
        </w:rPr>
      </w:pPr>
    </w:p>
    <w:p>
      <w:pPr>
        <w:ind w:left="5424" w:right="3840" w:hanging="5424"/>
        <w:spacing w:after="0" w:line="433" w:lineRule="auto"/>
        <w:tabs>
          <w:tab w:leader="none" w:pos="29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designated as a Project Finance Subsidiary by the Borrower in writing to Administrative Agent. 19</w:t>
      </w:r>
    </w:p>
    <w:p>
      <w:pPr>
        <w:sectPr>
          <w:pgSz w:w="11900" w:h="16838" w:orient="portrait"/>
          <w:cols w:equalWidth="0" w:num="1">
            <w:col w:w="11004"/>
          </w:cols>
          <w:pgMar w:left="436" w:top="270" w:right="459" w:bottom="1440" w:gutter="0" w:footer="0" w:header="0"/>
        </w:sectPr>
      </w:pPr>
    </w:p>
    <w:bookmarkStart w:id="27" w:name="page28"/>
    <w:bookmarkEnd w:id="27"/>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Project Financing</w:t>
      </w:r>
      <w:r>
        <w:rPr>
          <w:rFonts w:ascii="Times New Roman" w:cs="Times New Roman" w:eastAsia="Times New Roman" w:hAnsi="Times New Roman"/>
          <w:sz w:val="18"/>
          <w:szCs w:val="18"/>
          <w:color w:val="auto"/>
        </w:rPr>
        <w:t>” means Indebtedness incurred by a Project Finance Subsidiary to finance the acquisition or construction of any asset or project which Indebtedness does not permit or provide for recourse against the Borrower or any of its Subsidiaries (other than any Project Finance Subsidiary) and other than recourse that consists of rights to recover dividends paid by such Project Finance Subsidiary.</w:t>
      </w:r>
    </w:p>
    <w:p>
      <w:pPr>
        <w:spacing w:after="0" w:line="176"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62"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Time</w:t>
      </w:r>
      <w:r>
        <w:rPr>
          <w:rFonts w:ascii="Times New Roman" w:cs="Times New Roman" w:eastAsia="Times New Roman" w:hAnsi="Times New Roman"/>
          <w:sz w:val="18"/>
          <w:szCs w:val="18"/>
          <w:color w:val="auto"/>
        </w:rPr>
        <w:t>” with respect to any setting of the then-current Benchmark means (1) if such Benchmark is Term SOFR, the applicable time set forth in the definition of Term SOFR, and (2) if such Benchmark is not Term SOFR, the time determined by the Administrative Agent in its reasonable discretion.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directors, officers, employees, agents and advisors of such Person and such Person’s Affiliates.</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Board or the Federal Reserve Bank of New York, or a committee officially endorsed or convened by the Board or the Federal Reserve Bank of New York, or any successor thereto.</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at any time, Lenders having Exposures and unused Commitments representing more than 50% of the sum of the total Exposures and unused Commitments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if the Loans have been converted to Term Loans pursuant to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 from and after the effective date of such conversion, “</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means Lenders having more than 50% of the aggregate outstanding principal amount of the Term Loans.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any dividend or other distribution (whether in cash, securities or other property) with respect to any class of Equity Interests of the Borrower, or any payment (whether in cash, securities or other property), including any sinking fund or similar deposit, on account of the purchase, redemption, retirement, acquisition, cancellation or termination of any Equity Interests of EPD or the Borrower or any option, warrant or other right to acquire any Equity Interests of EPD or the Borrower.</w:t>
      </w:r>
    </w:p>
    <w:p>
      <w:pPr>
        <w:spacing w:after="0" w:line="180"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Sale/Leaseback Transaction</w:t>
      </w:r>
      <w:r>
        <w:rPr>
          <w:rFonts w:ascii="Times New Roman" w:cs="Times New Roman" w:eastAsia="Times New Roman" w:hAnsi="Times New Roman"/>
          <w:sz w:val="18"/>
          <w:szCs w:val="18"/>
          <w:color w:val="auto"/>
        </w:rPr>
        <w:t>” means any arrangement with any Person providing for the leasing, under a lease that is not a capital lease under GAAP, by the Borrower, or a Subsidiary (other than a Project Finance Subsidiary) or EPD of any Principal Property, which property has been or is to be sold or transferred by the Borrower, such Subsidiary or EPD to such Person in contemplation of such leasing.</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28" w:name="page29"/>
    <w:bookmarkEnd w:id="28"/>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Sanctions Laws and Regulations</w:t>
      </w:r>
      <w:r>
        <w:rPr>
          <w:rFonts w:ascii="Times New Roman" w:cs="Times New Roman" w:eastAsia="Times New Roman" w:hAnsi="Times New Roman"/>
          <w:sz w:val="18"/>
          <w:szCs w:val="18"/>
          <w:color w:val="auto"/>
        </w:rPr>
        <w:t>” means economic or financial sanctions or trade embargoes imposed, administered or enforced from time to time by (a) the U.S. government, including those administered by OFAC or the U.S. Department of State, or (b) the United Nations Security Council, the European Union or His Majesty’s Treasury of the United Kingdom.</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S&amp;P Global Ratings, a division of S&amp;P Global, Inc., and any successor thereto.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with respect to any Business Day, a rate per annum equal to the secured overnight financing rate for such Business Day published by the SOFR Administrator on the SOFR Administrator’s Website on the immediately succeeding Business Day.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 rate).</w:t>
      </w:r>
    </w:p>
    <w:p>
      <w:pPr>
        <w:spacing w:after="0" w:line="22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Administrator’s Website</w:t>
      </w:r>
      <w:r>
        <w:rPr>
          <w:rFonts w:ascii="Times New Roman" w:cs="Times New Roman" w:eastAsia="Times New Roman" w:hAnsi="Times New Roman"/>
          <w:sz w:val="18"/>
          <w:szCs w:val="18"/>
          <w:color w:val="auto"/>
        </w:rPr>
        <w:t xml:space="preserve">” means the website of the Federal Reserve Bank of New York, as of the Effective Date at </w:t>
      </w:r>
      <w:r>
        <w:rPr>
          <w:rFonts w:ascii="Times New Roman" w:cs="Times New Roman" w:eastAsia="Times New Roman" w:hAnsi="Times New Roman"/>
          <w:sz w:val="18"/>
          <w:szCs w:val="18"/>
          <w:u w:val="single" w:color="auto"/>
          <w:color w:val="auto"/>
        </w:rPr>
        <w:t>http://www.newyorkfed.org</w:t>
      </w:r>
      <w:r>
        <w:rPr>
          <w:rFonts w:ascii="Times New Roman" w:cs="Times New Roman" w:eastAsia="Times New Roman" w:hAnsi="Times New Roman"/>
          <w:sz w:val="18"/>
          <w:szCs w:val="18"/>
          <w:color w:val="auto"/>
        </w:rPr>
        <w:t>, or any successor source for the secured overnight financing rate identified as such by the SOFR Administrator from time to time.</w:t>
      </w:r>
    </w:p>
    <w:p>
      <w:pPr>
        <w:spacing w:after="0" w:line="17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at any date, any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 by the parent and one or more subsidiaries of the parent.</w:t>
      </w:r>
    </w:p>
    <w:p>
      <w:pPr>
        <w:spacing w:after="0" w:line="180"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present or future taxes, levies, imposts, duties, deductions, charges or withholdings imposed by any Governmental Authority.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Term-Out</w:t>
      </w:r>
      <w:r>
        <w:rPr>
          <w:rFonts w:ascii="Times New Roman" w:cs="Times New Roman" w:eastAsia="Times New Roman" w:hAnsi="Times New Roman"/>
          <w:sz w:val="18"/>
          <w:szCs w:val="18"/>
          <w:color w:val="auto"/>
        </w:rPr>
        <w:t xml:space="preserve">” means Borrower’s election, at its option, to have the entire principal balance of the Loans then outstanding continued as non-revolving Term Loans as provided in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right="20" w:firstLine="436"/>
        <w:spacing w:after="0" w:line="256" w:lineRule="auto"/>
        <w:tabs>
          <w:tab w:leader="none" w:pos="6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that is two (2) U.S. Government Securities Business Days prior to the first day of such Interest Period, as such rate is published by the Term SOFR Administrator; provided, however, that if as of 5:00 p.m. (Eastern time) on any Periodic Term SOFR Determination Day the Term SOFR Reference Rate for the applicable tenor has not been published by the Term SOFR Administrator and a Benchmark Replacement with respect to Term SOFR has not occurred, then Term SOFR will be the Term SOFR Reference Rate for such tenor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70" w:right="439" w:bottom="1440" w:gutter="0" w:footer="0" w:header="0"/>
        </w:sectPr>
      </w:pPr>
    </w:p>
    <w:bookmarkStart w:id="29" w:name="page30"/>
    <w:bookmarkEnd w:id="29"/>
    <w:p>
      <w:pPr>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76" w:lineRule="exact"/>
        <w:rPr>
          <w:sz w:val="20"/>
          <w:szCs w:val="20"/>
          <w:color w:val="auto"/>
        </w:rPr>
      </w:pPr>
    </w:p>
    <w:p>
      <w:pPr>
        <w:ind w:right="20" w:firstLine="436"/>
        <w:spacing w:after="0" w:line="254" w:lineRule="auto"/>
        <w:tabs>
          <w:tab w:leader="none" w:pos="6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an ABR Loan on any day, the Term SOFR Reference Rate for a tenor of one month on the day (such day, the “</w:t>
      </w:r>
      <w:r>
        <w:rPr>
          <w:rFonts w:ascii="Times New Roman" w:cs="Times New Roman" w:eastAsia="Times New Roman" w:hAnsi="Times New Roman"/>
          <w:sz w:val="18"/>
          <w:szCs w:val="18"/>
          <w:u w:val="single" w:color="auto"/>
          <w:color w:val="auto"/>
        </w:rPr>
        <w:t>Base Rate Term SOFR Determination Day</w:t>
      </w:r>
      <w:r>
        <w:rPr>
          <w:rFonts w:ascii="Times New Roman" w:cs="Times New Roman" w:eastAsia="Times New Roman" w:hAnsi="Times New Roman"/>
          <w:sz w:val="18"/>
          <w:szCs w:val="18"/>
          <w:color w:val="auto"/>
        </w:rPr>
        <w:t>”) that is two (2) U.S. Government Securities Business Days prior to such day, as such rate is published by the Term SOFR Administrator; provided, however, that if as of 5:00 p.m. (Eastern time) on any Base Rate Term SOFR Determination Day the Term SOFR Reference Rate for the applicable tenor has not been published by the Term SOFR Administrator and a Benchmark Replacement with respect to Term SOFR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that if Term SOFR as so determined shall ever be less than zero, then Term SOFR shall be deemed to be zero.</w:t>
      </w:r>
    </w:p>
    <w:p>
      <w:pPr>
        <w:spacing w:after="0" w:line="225"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Administrator</w:t>
      </w:r>
      <w:r>
        <w:rPr>
          <w:rFonts w:ascii="Times New Roman" w:cs="Times New Roman" w:eastAsia="Times New Roman" w:hAnsi="Times New Roman"/>
          <w:sz w:val="18"/>
          <w:szCs w:val="18"/>
          <w:color w:val="auto"/>
        </w:rPr>
        <w:t>” means CME Group Benchmark Administration Limited (CBA) (or a successor administrator of the Term SOFR Reference Rate selected by the Administrative Agent in its reasonable discretion).</w:t>
      </w:r>
    </w:p>
    <w:p>
      <w:pPr>
        <w:spacing w:after="0" w:line="162"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the forward-looking term rate based on SOFR that has been selected or recommended by the Relevant Governmental Body.</w:t>
      </w:r>
    </w:p>
    <w:p>
      <w:pPr>
        <w:spacing w:after="0" w:line="162"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execution, delivery and performance by the Borrower of this Agreement, the borrowing of Loans and the use of the proceeds thereof.</w:t>
      </w:r>
    </w:p>
    <w:p>
      <w:pPr>
        <w:spacing w:after="0" w:line="16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when used in reference to any Loan or Borrowing, refers to whether the rate of interest on such Loan, or on the Loans comprising such Borrowing, is determined by reference to Term SOFR or the Alternate Base Rate.</w:t>
      </w:r>
    </w:p>
    <w:p>
      <w:pPr>
        <w:spacing w:after="0" w:line="162"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70" w:right="479" w:bottom="1440" w:gutter="0" w:footer="0" w:header="0"/>
        </w:sectPr>
      </w:pPr>
    </w:p>
    <w:bookmarkStart w:id="30" w:name="page31"/>
    <w:bookmarkEnd w:id="30"/>
    <w:p>
      <w:pPr>
        <w:ind w:right="9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16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provided, that for purposes of notice requirements in Sections 2.03, 2.08 and 2.11 in each case, such day is also a Business Day.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2.17(e)(ii)(B)(3)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Liability</w:t>
      </w:r>
      <w:r>
        <w:rPr>
          <w:rFonts w:ascii="Times New Roman" w:cs="Times New Roman" w:eastAsia="Times New Roman" w:hAnsi="Times New Roman"/>
          <w:sz w:val="18"/>
          <w:szCs w:val="18"/>
          <w:color w:val="auto"/>
        </w:rPr>
        <w:t>” means liability to a Multiemployer Plan as a result of a complete or partial withdrawal from such Multiemployer Plan, as such terms are defined in Part I of Subtitle E of Title IV of ERISA.</w:t>
      </w:r>
    </w:p>
    <w:p>
      <w:pPr>
        <w:spacing w:after="0" w:line="162"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Classification of Loans and Borrowings</w:t>
      </w:r>
      <w:r>
        <w:rPr>
          <w:rFonts w:ascii="Times New Roman" w:cs="Times New Roman" w:eastAsia="Times New Roman" w:hAnsi="Times New Roman"/>
          <w:sz w:val="18"/>
          <w:szCs w:val="18"/>
          <w:color w:val="auto"/>
        </w:rPr>
        <w:t>. For purposes of this Agreement, Loans may be classified and referred to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“SOFR Loan”). Borrowings also may be classified and referred to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“SOFR Borrowing”).</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Terms Generally</w:t>
      </w:r>
      <w:r>
        <w:rPr>
          <w:rFonts w:ascii="Times New Roman" w:cs="Times New Roman" w:eastAsia="Times New Roman" w:hAnsi="Times New Roman"/>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31" w:name="page32"/>
    <w:bookmarkEnd w:id="31"/>
    <w:p>
      <w:pPr>
        <w:ind w:left="4" w:right="8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1.04. </w:t>
      </w:r>
      <w:r>
        <w:rPr>
          <w:rFonts w:ascii="Times New Roman" w:cs="Times New Roman" w:eastAsia="Times New Roman" w:hAnsi="Times New Roman"/>
          <w:sz w:val="18"/>
          <w:szCs w:val="18"/>
          <w:u w:val="single" w:color="auto"/>
          <w:color w:val="auto"/>
        </w:rPr>
        <w:t>Accounting Terms; GAAP</w:t>
      </w:r>
      <w:r>
        <w:rPr>
          <w:rFonts w:ascii="Times New Roman" w:cs="Times New Roman" w:eastAsia="Times New Roman" w:hAnsi="Times New Roman"/>
          <w:sz w:val="18"/>
          <w:szCs w:val="18"/>
          <w:color w:val="auto"/>
        </w:rPr>
        <w:t xml:space="preserve">. Except as otherwise expressly provided herein, all terms of an accounting or financial nature shall be construed in accordance with (i) except for purposes of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GAAP, as in effect from time to time;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(ii) for purposes of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GAAP, as in effect on December 31, 2025.</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 xml:space="preserve">SECTION 1.05. </w:t>
      </w:r>
      <w:r>
        <w:rPr>
          <w:rFonts w:ascii="Times New Roman" w:cs="Times New Roman" w:eastAsia="Times New Roman" w:hAnsi="Times New Roman"/>
          <w:sz w:val="17"/>
          <w:szCs w:val="17"/>
          <w:u w:val="single" w:color="auto"/>
          <w:color w:val="auto"/>
        </w:rPr>
        <w:t>Rates</w:t>
      </w:r>
      <w:r>
        <w:rPr>
          <w:rFonts w:ascii="Times New Roman" w:cs="Times New Roman" w:eastAsia="Times New Roman" w:hAnsi="Times New Roman"/>
          <w:sz w:val="17"/>
          <w:szCs w:val="17"/>
          <w:color w:val="auto"/>
        </w:rPr>
        <w:t>. The Administrative Agent does not warrant or accept any responsibility for, and shall not have any liability with respect to,</w:t>
      </w:r>
    </w:p>
    <w:p>
      <w:pPr>
        <w:spacing w:after="0" w:line="39" w:lineRule="exact"/>
        <w:rPr>
          <w:sz w:val="20"/>
          <w:szCs w:val="20"/>
          <w:color w:val="auto"/>
        </w:rPr>
      </w:pPr>
    </w:p>
    <w:p>
      <w:pPr>
        <w:ind w:left="4" w:hanging="4"/>
        <w:spacing w:after="0" w:line="251" w:lineRule="auto"/>
        <w:tabs>
          <w:tab w:leader="none" w:pos="21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continuation of, administration of, submission of, calculation of or any other matter related to Term SOFR or other rates in the definition of “Term SOFR” or with respect to any alternative, successor or replacement rate thereto (including any then-current Benchmark or any Benchmark Replacement), including whether the composition or characteristics of any such alternative, successor or replacement rate (including any Benchmark Replacement), as it may or may not be adjusted pursuant to </w:t>
      </w:r>
      <w:r>
        <w:rPr>
          <w:rFonts w:ascii="Times New Roman" w:cs="Times New Roman" w:eastAsia="Times New Roman" w:hAnsi="Times New Roman"/>
          <w:sz w:val="18"/>
          <w:szCs w:val="18"/>
          <w:u w:val="single" w:color="auto"/>
          <w:color w:val="auto"/>
        </w:rPr>
        <w:t>Section 2.14(c)</w:t>
      </w:r>
      <w:r>
        <w:rPr>
          <w:rFonts w:ascii="Times New Roman" w:cs="Times New Roman" w:eastAsia="Times New Roman" w:hAnsi="Times New Roman"/>
          <w:sz w:val="18"/>
          <w:szCs w:val="18"/>
          <w:color w:val="auto"/>
        </w:rPr>
        <w:t>, will be similar to, or produce the same value or economic equivalence of, Term SOFR or any other Benchmark, or have the same volume or liquidity as did Term SOFR or any other Benchmark prior to its discontinuance or unavailability, or (ii) the effect, implementation or composition of any Conforming Changes. The Administrative Agent and its Affiliates or other related entities may engage in transactions that affect the calculation of a Benchmark, any alternative, successor or replacement rate (including any Benchmark Replacement) or any relevant adjustments thereto and such transactions may be adverse to the Borrower. The Administrative Agent may select information sources or services in its reasonable discretion to ascertain any Benchmark, any component definition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2"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hereunder,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39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The Credits</w:t>
      </w:r>
    </w:p>
    <w:p>
      <w:pPr>
        <w:spacing w:after="0" w:line="225"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(a) Subject to the terms and conditions set forth herein, each Lender agrees to make Loans to the Borrower from time to time during the Availability Period in an aggregate principal amount that will not result in (i) such Lender’s Exposure exceeding such Lender’s Commitment or (ii) the sum of the total Exposures exceeding the total Commitments. Within the foregoing limits and subject to the terms and conditions set forth herein, the Borrower may borrow, prepay and reborrow Loans.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70" w:right="459" w:bottom="1440" w:gutter="0" w:footer="0" w:header="0"/>
        </w:sectPr>
      </w:pPr>
    </w:p>
    <w:bookmarkStart w:id="32" w:name="page33"/>
    <w:bookmarkEnd w:id="32"/>
    <w:p>
      <w:pPr>
        <w:jc w:val="both"/>
        <w:ind w:right="120" w:firstLine="436"/>
        <w:spacing w:after="0" w:line="258" w:lineRule="auto"/>
        <w:tabs>
          <w:tab w:leader="none" w:pos="6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Borrower shall have the right, without the consent of the Lenders but with the prior approval of the Administrative Agent, not to be unreasonably withheld, to cause from time to time an increase in the total Commitments of the Lenders by adding to this Agreement one or more additional Lenders or by allowing one or more Lenders to increase their respective Commitments;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(i) no Event of Default shall have occurred hereunder which is continuing, (ii) no such increase shall cause the aggregate Commitments hereunder to exceed $1,700,000,000, and (iii) no Lender’s Commitment shall be increased without such Lender’s consent.</w:t>
      </w:r>
    </w:p>
    <w:p>
      <w:pPr>
        <w:spacing w:after="0" w:line="183" w:lineRule="exact"/>
        <w:rPr>
          <w:rFonts w:ascii="Times New Roman" w:cs="Times New Roman" w:eastAsia="Times New Roman" w:hAnsi="Times New Roman"/>
          <w:sz w:val="18"/>
          <w:szCs w:val="18"/>
          <w:color w:val="auto"/>
        </w:rPr>
      </w:pPr>
    </w:p>
    <w:p>
      <w:pPr>
        <w:ind w:right="20" w:firstLine="436"/>
        <w:spacing w:after="0" w:line="252" w:lineRule="auto"/>
        <w:tabs>
          <w:tab w:leader="none" w:pos="6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no Default or Event of Default has occurred and is continuing, the Borrower may, upon prior written notice to the Administrative Agent sent not less than fifteen (15) days and not more than sixty (60) days prior to the Maturity Date, elect to have the entire principal balance of the Loans then outstanding continued as non-revolving term loans (the “</w:t>
      </w:r>
      <w:r>
        <w:rPr>
          <w:rFonts w:ascii="Times New Roman" w:cs="Times New Roman" w:eastAsia="Times New Roman" w:hAnsi="Times New Roman"/>
          <w:sz w:val="18"/>
          <w:szCs w:val="18"/>
          <w:u w:val="single" w:color="auto"/>
          <w:color w:val="auto"/>
        </w:rPr>
        <w:t>Term Loans</w:t>
      </w:r>
      <w:r>
        <w:rPr>
          <w:rFonts w:ascii="Times New Roman" w:cs="Times New Roman" w:eastAsia="Times New Roman" w:hAnsi="Times New Roman"/>
          <w:sz w:val="18"/>
          <w:szCs w:val="18"/>
          <w:color w:val="auto"/>
        </w:rPr>
        <w:t xml:space="preserve">”) due and payable on the Term Loan Maturity Date; provided, the Borrower may exercise the Term-Out only once during the term of this Agreement, such exercise shall result in the permanent termination of the Commitments, and the Borrower may repay, but not reborrow, the Term Loans. As a condition precedent to the Term-Out, the Borrower shall deliver to the Administrative Agent a certificate of the Borrower dated the effective date of the Term-Out signed by a Financial Officer of the Borrower, certifying that: (i) the resolutions adopted by the Borrower approving or consenting to the Term-Out are attached thereto and such resolutions are true and correct and have not been altered, amended or repealed and are in full force and effect and (ii) before and after giving effect to the Term-Out, (A) the representations and warranties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the EPD Guaranty Agreement are true and correct in all material respects on and as of the effective date of the Term-Out, except to the extent that such representations and warranties specifically refer to an earlier date, in which case they were true and correct in all material respects as of such earlier date and (B) that no Default or Event of Default exists, is continuing, or would result from the Term-Out. The Borrower agrees to pay to the Administrative Agent for the account of each Lender a one-time Term-Out fee equal to 1.00% of the outstanding principal of the Term Loans so continued, which shall be due and payable on the effective date of the Term-Out. The Borrower hereby agrees to pay any and all costs (if any) required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incurred by any Lender in connection with the exercise of the Term-Out.</w:t>
      </w:r>
    </w:p>
    <w:p>
      <w:pPr>
        <w:spacing w:after="0" w:line="19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Loans and Borrowings</w:t>
      </w:r>
      <w:r>
        <w:rPr>
          <w:rFonts w:ascii="Times New Roman" w:cs="Times New Roman" w:eastAsia="Times New Roman" w:hAnsi="Times New Roman"/>
          <w:sz w:val="18"/>
          <w:szCs w:val="18"/>
          <w:color w:val="auto"/>
        </w:rPr>
        <w:t xml:space="preserve">. (a) Each Loan shall be made as part of a Borrowing consisting of Loans made by the Lenders ratably in accordance with their respective Commitments. The failure of any Lender to make any Loan required to be made by it shall not relieve any other Lender of its obligations hereunder;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Commitments of the Lenders are several and no Lender shall be responsible for any other Lender’s failure to make Loans as required.</w:t>
      </w:r>
    </w:p>
    <w:p>
      <w:pPr>
        <w:spacing w:after="0" w:line="180" w:lineRule="exact"/>
        <w:rPr>
          <w:sz w:val="20"/>
          <w:szCs w:val="20"/>
          <w:color w:val="auto"/>
        </w:rPr>
      </w:pPr>
    </w:p>
    <w:p>
      <w:pPr>
        <w:ind w:right="300" w:firstLine="436"/>
        <w:spacing w:after="0" w:line="261" w:lineRule="auto"/>
        <w:tabs>
          <w:tab w:leader="none" w:pos="6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each Borrowing shall be comprised entirely of ABR Loans or SOFR Loans as the Borrower may request in accordance herewith. Each Lender at its option may make any SOFR Loan by causing any domestic or foreign branch or Affiliate of such Lender to make such Loan;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any exercise of such option shall not affect the obligation of the Borrower to repay such Loan in accordance with the terms of this Agreement.</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70" w:right="479" w:bottom="1440" w:gutter="0" w:footer="0" w:header="0"/>
        </w:sectPr>
      </w:pPr>
    </w:p>
    <w:bookmarkStart w:id="33" w:name="page34"/>
    <w:bookmarkEnd w:id="33"/>
    <w:p>
      <w:pPr>
        <w:jc w:val="both"/>
        <w:ind w:left="4" w:right="120" w:firstLine="436"/>
        <w:spacing w:after="0" w:line="258" w:lineRule="auto"/>
        <w:tabs>
          <w:tab w:leader="none" w:pos="68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At the commencement of each Interest Period for any SOFR Borrowing, such Borrowing shall be in an aggregate amount that is an integral multiple of $1,000,000 and not less than $5,000,000. At the time that each ABR Borrowing is made, such Borrowing shall be in an aggregate amount that is an integral multiple of $500,000 and not less than $1,000,000;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an ABR Borrowing may be in an aggregate amount that is equal to the entire unused balance of the total Commitments. Borrowings of more than one Type may be outstanding at the same time;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there shall not at any time be more than a total of twelve SOFR Borrowings outstanding.</w:t>
      </w:r>
    </w:p>
    <w:p>
      <w:pPr>
        <w:spacing w:after="0" w:line="183" w:lineRule="exact"/>
        <w:rPr>
          <w:rFonts w:ascii="Times New Roman" w:cs="Times New Roman" w:eastAsia="Times New Roman" w:hAnsi="Times New Roman"/>
          <w:sz w:val="18"/>
          <w:szCs w:val="18"/>
          <w:color w:val="auto"/>
        </w:rPr>
      </w:pPr>
    </w:p>
    <w:p>
      <w:pPr>
        <w:ind w:left="4" w:right="240" w:firstLine="436"/>
        <w:spacing w:after="0" w:line="282" w:lineRule="auto"/>
        <w:tabs>
          <w:tab w:leader="none" w:pos="69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the Borrower shall not be entitled to request, or to elect to convert or continue, any Borrowing if the Interest Period requested with respect thereto would end after the Maturity Date.</w:t>
      </w:r>
    </w:p>
    <w:p>
      <w:pPr>
        <w:spacing w:after="0" w:line="162" w:lineRule="exact"/>
        <w:rPr>
          <w:sz w:val="20"/>
          <w:szCs w:val="20"/>
          <w:color w:val="auto"/>
        </w:rPr>
      </w:pPr>
    </w:p>
    <w:p>
      <w:pPr>
        <w:ind w:left="4" w:right="340" w:firstLine="440"/>
        <w:spacing w:after="0" w:line="272" w:lineRule="auto"/>
        <w:rPr>
          <w:sz w:val="20"/>
          <w:szCs w:val="20"/>
          <w:color w:val="auto"/>
        </w:rPr>
      </w:pPr>
      <w:r>
        <w:rPr>
          <w:rFonts w:ascii="Times New Roman" w:cs="Times New Roman" w:eastAsia="Times New Roman" w:hAnsi="Times New Roman"/>
          <w:sz w:val="17"/>
          <w:szCs w:val="17"/>
          <w:color w:val="auto"/>
        </w:rPr>
        <w:t xml:space="preserve">SECTION 2.03. </w:t>
      </w:r>
      <w:r>
        <w:rPr>
          <w:rFonts w:ascii="Times New Roman" w:cs="Times New Roman" w:eastAsia="Times New Roman" w:hAnsi="Times New Roman"/>
          <w:sz w:val="17"/>
          <w:szCs w:val="17"/>
          <w:u w:val="single" w:color="auto"/>
          <w:color w:val="auto"/>
        </w:rPr>
        <w:t>Requests for Borrowings</w:t>
      </w:r>
      <w:r>
        <w:rPr>
          <w:rFonts w:ascii="Times New Roman" w:cs="Times New Roman" w:eastAsia="Times New Roman" w:hAnsi="Times New Roman"/>
          <w:sz w:val="17"/>
          <w:szCs w:val="17"/>
          <w:color w:val="auto"/>
        </w:rPr>
        <w:t xml:space="preserve">. To request a Borrowing, the Borrower shall notify the Administrative Agent of such request by telephone (a) in the case of a SOFR Borrowing, not later than 11:00 a.m., New York City time, three Business Days before the date of the proposed Borrowing (or, upon implementation of a Benchmark Replacement in accordance with </w:t>
      </w:r>
      <w:r>
        <w:rPr>
          <w:rFonts w:ascii="Times New Roman" w:cs="Times New Roman" w:eastAsia="Times New Roman" w:hAnsi="Times New Roman"/>
          <w:sz w:val="17"/>
          <w:szCs w:val="17"/>
          <w:u w:val="single" w:color="auto"/>
          <w:color w:val="auto"/>
        </w:rPr>
        <w:t>Section 2.14</w:t>
      </w:r>
      <w:r>
        <w:rPr>
          <w:rFonts w:ascii="Times New Roman" w:cs="Times New Roman" w:eastAsia="Times New Roman" w:hAnsi="Times New Roman"/>
          <w:sz w:val="17"/>
          <w:szCs w:val="17"/>
          <w:color w:val="auto"/>
        </w:rPr>
        <w:t>, by the Reference Time with respect thereto) or</w:t>
      </w:r>
    </w:p>
    <w:p>
      <w:pPr>
        <w:spacing w:after="0" w:line="2" w:lineRule="exact"/>
        <w:rPr>
          <w:sz w:val="20"/>
          <w:szCs w:val="20"/>
          <w:color w:val="auto"/>
        </w:rPr>
      </w:pPr>
    </w:p>
    <w:p>
      <w:pPr>
        <w:ind w:left="4" w:hanging="4"/>
        <w:spacing w:after="0" w:line="253" w:lineRule="auto"/>
        <w:tabs>
          <w:tab w:leader="none" w:pos="25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 ABR Borrowing, not later than 11:00 a.m., New York City time, on the date of the proposed Borrowing. Each such telephonic Borrowing Request shall be irrevocable and shall be confirmed promptly by hand delivery or telecopy to the Administrative Agent of a written Borrowing Request signed by the Borrower. Each such telephonic and written Borrowing Request shall specify the following information in compliance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1084" w:hanging="221"/>
        <w:spacing w:after="0"/>
        <w:tabs>
          <w:tab w:leader="none" w:pos="108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the requested Borrowing;</w:t>
      </w:r>
    </w:p>
    <w:p>
      <w:pPr>
        <w:spacing w:after="0" w:line="117"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such Borrowing, which shall be a Business Day;</w:t>
      </w:r>
    </w:p>
    <w:p>
      <w:pPr>
        <w:spacing w:after="0" w:line="117" w:lineRule="exact"/>
        <w:rPr>
          <w:rFonts w:ascii="Times New Roman" w:cs="Times New Roman" w:eastAsia="Times New Roman" w:hAnsi="Times New Roman"/>
          <w:sz w:val="18"/>
          <w:szCs w:val="18"/>
          <w:color w:val="auto"/>
        </w:rPr>
      </w:pPr>
    </w:p>
    <w:p>
      <w:pPr>
        <w:ind w:left="1184" w:hanging="321"/>
        <w:spacing w:after="0"/>
        <w:tabs>
          <w:tab w:leader="none" w:pos="118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Borrowing is to be an ABR Borrowing or a SOFR Borrowing;</w:t>
      </w:r>
    </w:p>
    <w:p>
      <w:pPr>
        <w:spacing w:after="0" w:line="117" w:lineRule="exact"/>
        <w:rPr>
          <w:rFonts w:ascii="Times New Roman" w:cs="Times New Roman" w:eastAsia="Times New Roman" w:hAnsi="Times New Roman"/>
          <w:sz w:val="18"/>
          <w:szCs w:val="18"/>
          <w:color w:val="auto"/>
        </w:rPr>
      </w:pPr>
    </w:p>
    <w:p>
      <w:pPr>
        <w:ind w:left="444" w:right="540" w:firstLine="419"/>
        <w:spacing w:after="0" w:line="282" w:lineRule="auto"/>
        <w:tabs>
          <w:tab w:leader="none" w:pos="117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SOFR Borrowing, the initial Interest Period to be applicable thereto, which shall be a period contemplated by the definition of the term “Interest Period”; and</w:t>
      </w:r>
    </w:p>
    <w:p>
      <w:pPr>
        <w:spacing w:after="0" w:line="53" w:lineRule="exact"/>
        <w:rPr>
          <w:rFonts w:ascii="Times New Roman" w:cs="Times New Roman" w:eastAsia="Times New Roman" w:hAnsi="Times New Roman"/>
          <w:sz w:val="18"/>
          <w:szCs w:val="18"/>
          <w:color w:val="auto"/>
        </w:rPr>
      </w:pPr>
    </w:p>
    <w:p>
      <w:pPr>
        <w:ind w:left="444" w:right="360" w:firstLine="419"/>
        <w:spacing w:after="0" w:line="282" w:lineRule="auto"/>
        <w:tabs>
          <w:tab w:leader="none" w:pos="112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location and number of the Borrower’s account to which funds are to be disbursed, which shall comply with the requirements of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If no election as to the Type of Borrowing is specified, then the requested Borrowing shall be an ABR Borrowing. If no Interest Period is specified with respect to any requested SOFR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4"/>
          </w:cols>
          <w:pgMar w:left="436" w:top="270" w:right="499" w:bottom="1440" w:gutter="0" w:footer="0" w:header="0"/>
        </w:sectPr>
      </w:pPr>
    </w:p>
    <w:bookmarkStart w:id="34" w:name="page35"/>
    <w:bookmarkEnd w:id="3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2.06.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Funding of Borrowings</w:t>
      </w:r>
      <w:r>
        <w:rPr>
          <w:rFonts w:ascii="Times New Roman" w:cs="Times New Roman" w:eastAsia="Times New Roman" w:hAnsi="Times New Roman"/>
          <w:sz w:val="18"/>
          <w:szCs w:val="18"/>
          <w:color w:val="auto"/>
        </w:rPr>
        <w:t>. (a) Each Lender shall make each Loan to be made by it hereunder on the proposed date thereof by wire transfer of immediately available funds by 1:00 p.m., New York City time, to the account of the Administrative Agent most recently designated by it for such purpose by notice to the Lenders. The Administrative Agent will make such Loans available to the Borrower by promptly crediting the amounts so received, in like funds, to an account designated by the Borrower in the applicable Borrowing Request.</w:t>
      </w:r>
    </w:p>
    <w:p>
      <w:pPr>
        <w:spacing w:after="0" w:line="180" w:lineRule="exact"/>
        <w:rPr>
          <w:sz w:val="20"/>
          <w:szCs w:val="20"/>
          <w:color w:val="auto"/>
        </w:rPr>
      </w:pPr>
    </w:p>
    <w:p>
      <w:pPr>
        <w:ind w:right="40" w:firstLine="436"/>
        <w:spacing w:after="0" w:line="253" w:lineRule="auto"/>
        <w:tabs>
          <w:tab w:leader="none" w:pos="6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received notice from a Lender prior to the proposed date, or with respect to an ABR Loan, prior to 12:30 p.m., New York City time on the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such Borrowing. If such Lender pays such amount to the Administrative Agent, then such amount shall constitute such Lender’s Loan included in such Borrowing.</w:t>
      </w:r>
    </w:p>
    <w:p>
      <w:pPr>
        <w:spacing w:after="0" w:line="194"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Interest Elections</w:t>
      </w:r>
      <w:r>
        <w:rPr>
          <w:rFonts w:ascii="Times New Roman" w:cs="Times New Roman" w:eastAsia="Times New Roman" w:hAnsi="Times New Roman"/>
          <w:sz w:val="18"/>
          <w:szCs w:val="18"/>
          <w:color w:val="auto"/>
        </w:rPr>
        <w:t>. (a) Each Borrowing initially shall be of the Type specified in the applicable Borrowing Request and, in the case of a SOFR Borrowing, shall have an initial Interest Period as specified in such Borrowing Request. Thereafter, the Borrower may elect to convert such Borrowing to a different Type or to continue such Borrowing and, in the case of a SOFR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87" w:lineRule="exact"/>
        <w:rPr>
          <w:sz w:val="20"/>
          <w:szCs w:val="20"/>
          <w:color w:val="auto"/>
        </w:rPr>
      </w:pPr>
    </w:p>
    <w:p>
      <w:pPr>
        <w:ind w:firstLine="436"/>
        <w:spacing w:after="0" w:line="261" w:lineRule="auto"/>
        <w:tabs>
          <w:tab w:leader="none" w:pos="6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make an election pursuant to this Section, the Borrower shall notify the Administrative Agent of such election by telephone by the time that a Borrowing Request would be required under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if the Borrower were requesting a Borrowing of the Type resulting from such election to be made on the effective date of such election. Each such telephonic Interest Election Request shall be irrevocable and shall be confirmed promptly by hand delivery or telecopy to the Administrative Agent of a written Interest Election Request signed by the Borrower.</w:t>
      </w:r>
    </w:p>
    <w:p>
      <w:pPr>
        <w:spacing w:after="0" w:line="179"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telephonic and written Interest Election Request shall specify the following information in compliance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0"/>
          </w:cols>
          <w:pgMar w:left="440" w:top="270" w:right="479" w:bottom="1440" w:gutter="0" w:footer="0" w:header="0"/>
        </w:sectPr>
      </w:pPr>
    </w:p>
    <w:bookmarkStart w:id="35" w:name="page36"/>
    <w:bookmarkEnd w:id="35"/>
    <w:p>
      <w:pPr>
        <w:jc w:val="both"/>
        <w:ind w:left="444" w:firstLine="419"/>
        <w:spacing w:after="0" w:line="276" w:lineRule="auto"/>
        <w:tabs>
          <w:tab w:leader="none" w:pos="1082"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w:t>
      </w:r>
    </w:p>
    <w:p>
      <w:pPr>
        <w:ind w:left="744" w:hanging="304"/>
        <w:spacing w:after="0"/>
        <w:tabs>
          <w:tab w:leader="none" w:pos="7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shall be specified for each resulting Borrowing);</w:t>
      </w:r>
    </w:p>
    <w:p>
      <w:pPr>
        <w:spacing w:after="0" w:line="98"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the election made pursuant to such Interest Election Request, which shall be a Business Day;</w:t>
      </w:r>
    </w:p>
    <w:p>
      <w:pPr>
        <w:spacing w:after="0" w:line="117" w:lineRule="exact"/>
        <w:rPr>
          <w:rFonts w:ascii="Times New Roman" w:cs="Times New Roman" w:eastAsia="Times New Roman" w:hAnsi="Times New Roman"/>
          <w:sz w:val="18"/>
          <w:szCs w:val="18"/>
          <w:color w:val="auto"/>
        </w:rPr>
      </w:pPr>
    </w:p>
    <w:p>
      <w:pPr>
        <w:ind w:left="1184" w:hanging="321"/>
        <w:spacing w:after="0"/>
        <w:tabs>
          <w:tab w:leader="none" w:pos="118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resulting Borrowing is to be an ABR Borrowing or a SOFR Borrowing; and</w:t>
      </w:r>
    </w:p>
    <w:p>
      <w:pPr>
        <w:spacing w:after="0" w:line="117" w:lineRule="exact"/>
        <w:rPr>
          <w:rFonts w:ascii="Times New Roman" w:cs="Times New Roman" w:eastAsia="Times New Roman" w:hAnsi="Times New Roman"/>
          <w:sz w:val="18"/>
          <w:szCs w:val="18"/>
          <w:color w:val="auto"/>
        </w:rPr>
      </w:pPr>
    </w:p>
    <w:p>
      <w:pPr>
        <w:ind w:left="444" w:right="160" w:firstLine="419"/>
        <w:spacing w:after="0" w:line="282" w:lineRule="auto"/>
        <w:tabs>
          <w:tab w:leader="none" w:pos="117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resulting Borrowing is a SOFR Borrowing, the Interest Period to be applicable thereto after giving effect to such election, which shall be a period contemplated by the definition of the term “Interest Period”.</w:t>
      </w:r>
    </w:p>
    <w:p>
      <w:pPr>
        <w:spacing w:after="0" w:line="162" w:lineRule="exact"/>
        <w:rPr>
          <w:sz w:val="20"/>
          <w:szCs w:val="20"/>
          <w:color w:val="auto"/>
        </w:rPr>
      </w:pPr>
    </w:p>
    <w:p>
      <w:pPr>
        <w:ind w:left="4" w:right="280"/>
        <w:spacing w:after="0" w:line="282" w:lineRule="auto"/>
        <w:rPr>
          <w:sz w:val="20"/>
          <w:szCs w:val="20"/>
          <w:color w:val="auto"/>
        </w:rPr>
      </w:pPr>
      <w:r>
        <w:rPr>
          <w:rFonts w:ascii="Times New Roman" w:cs="Times New Roman" w:eastAsia="Times New Roman" w:hAnsi="Times New Roman"/>
          <w:sz w:val="18"/>
          <w:szCs w:val="18"/>
          <w:color w:val="auto"/>
        </w:rPr>
        <w:t>If any such Interest Election Request requests a SOFR Borrowing but does not specify an Interest Period, then the Borrower shall be deemed to have selected an Interest Period of one month’s duration, in the case of a SOFR Borrowing.</w:t>
      </w:r>
    </w:p>
    <w:p>
      <w:pPr>
        <w:spacing w:after="0" w:line="162" w:lineRule="exact"/>
        <w:rPr>
          <w:sz w:val="20"/>
          <w:szCs w:val="20"/>
          <w:color w:val="auto"/>
        </w:rPr>
      </w:pPr>
    </w:p>
    <w:p>
      <w:pPr>
        <w:ind w:left="4" w:right="320" w:firstLine="436"/>
        <w:spacing w:after="0" w:line="282" w:lineRule="auto"/>
        <w:tabs>
          <w:tab w:leader="none" w:pos="69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receipt of an Interest Election Request, the Administrative Agent shall advise each Lender of the details thereof and of such Lender’s portion of each resulting Borrowing.</w:t>
      </w:r>
    </w:p>
    <w:p>
      <w:pPr>
        <w:spacing w:after="0" w:line="161" w:lineRule="exact"/>
        <w:rPr>
          <w:rFonts w:ascii="Times New Roman" w:cs="Times New Roman" w:eastAsia="Times New Roman" w:hAnsi="Times New Roman"/>
          <w:sz w:val="18"/>
          <w:szCs w:val="18"/>
          <w:color w:val="auto"/>
        </w:rPr>
      </w:pPr>
    </w:p>
    <w:p>
      <w:pPr>
        <w:ind w:left="4" w:firstLine="436"/>
        <w:spacing w:after="0" w:line="256" w:lineRule="auto"/>
        <w:tabs>
          <w:tab w:leader="none" w:pos="68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fails to deliver a timely Interest Election Request with respect to a SOFR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SOFR Borrowing and (ii) unless repaid, each SOFR Borrowing shall be converted to an ABR Borrowing at the end of the Interest Period applicable thereto.</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 xml:space="preserve">SECTION 2.09. </w:t>
      </w:r>
      <w:r>
        <w:rPr>
          <w:rFonts w:ascii="Times New Roman" w:cs="Times New Roman" w:eastAsia="Times New Roman" w:hAnsi="Times New Roman"/>
          <w:sz w:val="17"/>
          <w:szCs w:val="17"/>
          <w:u w:val="single" w:color="auto"/>
          <w:color w:val="auto"/>
        </w:rPr>
        <w:t>Termination and Reduction of Commitments</w:t>
      </w:r>
      <w:r>
        <w:rPr>
          <w:rFonts w:ascii="Times New Roman" w:cs="Times New Roman" w:eastAsia="Times New Roman" w:hAnsi="Times New Roman"/>
          <w:sz w:val="17"/>
          <w:szCs w:val="17"/>
          <w:color w:val="auto"/>
        </w:rPr>
        <w:t>. (a) Unless previously terminated, the Commitments shall terminate on the earlier of</w:t>
      </w:r>
    </w:p>
    <w:p>
      <w:pPr>
        <w:spacing w:after="0" w:line="39" w:lineRule="exact"/>
        <w:rPr>
          <w:sz w:val="20"/>
          <w:szCs w:val="20"/>
          <w:color w:val="auto"/>
        </w:rPr>
      </w:pPr>
    </w:p>
    <w:p>
      <w:pPr>
        <w:ind w:left="224" w:hanging="224"/>
        <w:spacing w:after="0"/>
        <w:tabs>
          <w:tab w:leader="none" w:pos="2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Maturity Date and (ii) the date the Loans are converted to Term Loans pursuant to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69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at any time terminate, or from time to time reduce, the Commitments;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 each reduction of the Commitments shall be in an amount that is an integral multiple of $1,000,000 and not less than $5,000,000 and (ii) the Borrower shall not terminate or reduce the Commitments if, after giving effect to any concurrent prepayment of the Loans in accordance with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the sum of the total Exposures would exceed the total Commitments.</w:t>
      </w:r>
    </w:p>
    <w:p>
      <w:pPr>
        <w:spacing w:after="0" w:line="179" w:lineRule="exact"/>
        <w:rPr>
          <w:rFonts w:ascii="Times New Roman" w:cs="Times New Roman" w:eastAsia="Times New Roman" w:hAnsi="Times New Roman"/>
          <w:sz w:val="18"/>
          <w:szCs w:val="18"/>
          <w:color w:val="auto"/>
        </w:rPr>
      </w:pPr>
    </w:p>
    <w:p>
      <w:pPr>
        <w:ind w:left="4" w:right="160" w:firstLine="436"/>
        <w:spacing w:after="0" w:line="261" w:lineRule="auto"/>
        <w:tabs>
          <w:tab w:leader="none" w:pos="68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notify the Administrative Agent of any election to terminate or reduce the Commitments under paragraph (b) of this Section at least three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a notice of termination of the Commitments delivered by the</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4"/>
          </w:cols>
          <w:pgMar w:left="436" w:top="270" w:right="479" w:bottom="1440" w:gutter="0" w:footer="0" w:header="0"/>
        </w:sectPr>
      </w:pPr>
    </w:p>
    <w:bookmarkStart w:id="36" w:name="page37"/>
    <w:bookmarkEnd w:id="36"/>
    <w:p>
      <w:pPr>
        <w:ind w:right="3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Borrower may state that such notice is conditioned upon the effectiveness of other credit facilities, in which case such notice may be revoked by the Borrower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180"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Repayment of Loans; Evidence of Debt</w:t>
      </w:r>
      <w:r>
        <w:rPr>
          <w:rFonts w:ascii="Times New Roman" w:cs="Times New Roman" w:eastAsia="Times New Roman" w:hAnsi="Times New Roman"/>
          <w:sz w:val="18"/>
          <w:szCs w:val="18"/>
          <w:color w:val="auto"/>
        </w:rPr>
        <w:t xml:space="preserve">. (a) The Borrower hereby unconditionally promises to pay to the Administrative Agent for the account of each Lender the then unpaid principal amount of each Loan on the Maturity Date or, if the Loans have been converted to Term Loans pursuant to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 each Term Loan on the Term Loan Maturity Date.</w:t>
      </w:r>
    </w:p>
    <w:p>
      <w:pPr>
        <w:spacing w:after="0" w:line="176" w:lineRule="exact"/>
        <w:rPr>
          <w:sz w:val="20"/>
          <w:szCs w:val="20"/>
          <w:color w:val="auto"/>
        </w:rPr>
      </w:pPr>
    </w:p>
    <w:p>
      <w:pPr>
        <w:ind w:right="160" w:firstLine="436"/>
        <w:spacing w:after="0" w:line="266" w:lineRule="auto"/>
        <w:tabs>
          <w:tab w:leader="none" w:pos="6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75" w:lineRule="exact"/>
        <w:rPr>
          <w:rFonts w:ascii="Times New Roman" w:cs="Times New Roman" w:eastAsia="Times New Roman" w:hAnsi="Times New Roman"/>
          <w:sz w:val="18"/>
          <w:szCs w:val="18"/>
          <w:color w:val="auto"/>
        </w:rPr>
      </w:pPr>
    </w:p>
    <w:p>
      <w:pPr>
        <w:ind w:right="180" w:firstLine="436"/>
        <w:spacing w:after="0" w:line="261" w:lineRule="auto"/>
        <w:tabs>
          <w:tab w:leader="none" w:pos="6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maintain accounts in which it shall record (i) the amount of each Loan made hereunder, the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79" w:lineRule="exact"/>
        <w:rPr>
          <w:rFonts w:ascii="Times New Roman" w:cs="Times New Roman" w:eastAsia="Times New Roman" w:hAnsi="Times New Roman"/>
          <w:sz w:val="18"/>
          <w:szCs w:val="18"/>
          <w:color w:val="auto"/>
        </w:rPr>
      </w:pPr>
    </w:p>
    <w:p>
      <w:pPr>
        <w:jc w:val="both"/>
        <w:ind w:right="80" w:firstLine="436"/>
        <w:spacing w:after="0" w:line="266" w:lineRule="auto"/>
        <w:tabs>
          <w:tab w:leader="none" w:pos="6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entries made in the accounts maintained pursuant to paragraph (b) or (c) of this Section shall be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existence and amounts of the obligations recorded therein;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failure of any Lender or the Administrative Agent to maintain such accounts or any error therein shall not in any manner affect the obligation of the Borrower to repay the Loans in accordance with the terms of this Agreement.</w:t>
      </w:r>
    </w:p>
    <w:p>
      <w:pPr>
        <w:spacing w:after="0" w:line="175" w:lineRule="exact"/>
        <w:rPr>
          <w:rFonts w:ascii="Times New Roman" w:cs="Times New Roman" w:eastAsia="Times New Roman" w:hAnsi="Times New Roman"/>
          <w:sz w:val="18"/>
          <w:szCs w:val="18"/>
          <w:color w:val="auto"/>
        </w:rPr>
      </w:pPr>
    </w:p>
    <w:p>
      <w:pPr>
        <w:ind w:firstLine="436"/>
        <w:spacing w:after="0" w:line="258" w:lineRule="auto"/>
        <w:tabs>
          <w:tab w:leader="none" w:pos="6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request that Loans made by it be evidenced by a promissory note. In such event, the Borrower shall prepare, execute and deliver to such Lender a promissory note payable to such Lender (or, if requested by such Lender, to such Lender and its registered assigns) substantially in the form of note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Thereafter, the Loans evidenced by such promissory note and interest thereon shall at all times (including after assignment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be represented by one or more promissory notes in such form payable to the payee named therein (or, if such promissory note is a registered note, to such payee and its registered assigns).</w:t>
      </w:r>
    </w:p>
    <w:p>
      <w:pPr>
        <w:spacing w:after="0" w:line="183"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Prepayment of Loans</w:t>
      </w:r>
      <w:r>
        <w:rPr>
          <w:rFonts w:ascii="Times New Roman" w:cs="Times New Roman" w:eastAsia="Times New Roman" w:hAnsi="Times New Roman"/>
          <w:sz w:val="18"/>
          <w:szCs w:val="18"/>
          <w:color w:val="auto"/>
        </w:rPr>
        <w:t>. (a) The Borrower shall have the right at any time and from time to time to prepay any Borrowing in whole or in part, subject to prior notice in accordance with paragraph (b) of this Section.</w:t>
      </w:r>
    </w:p>
    <w:p>
      <w:pPr>
        <w:spacing w:after="0" w:line="162" w:lineRule="exact"/>
        <w:rPr>
          <w:sz w:val="20"/>
          <w:szCs w:val="20"/>
          <w:color w:val="auto"/>
        </w:rPr>
      </w:pPr>
    </w:p>
    <w:p>
      <w:pPr>
        <w:ind w:right="60" w:firstLine="436"/>
        <w:spacing w:after="0" w:line="261" w:lineRule="auto"/>
        <w:tabs>
          <w:tab w:leader="none" w:pos="6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notify the Administrative Agent by telephone (confirmed by telecopy) of any prepayment hereunder (i) in the case of prepayment of a SOFR Borrowing, not later than 11:00 a.m., New York City time, three Business Days before the date of prepayment, or (ii) in the case of prepayment of an ABR Borrowing, not later than 11:00 a.m., New York City time, on the date of prepayment. Each such notice shall be irrevocable and shall specify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37" w:name="page38"/>
    <w:bookmarkEnd w:id="37"/>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prepayment date and the principal amount of each Borrowing or portion thereof to be prepaid;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if a notice of prepayment is given in connection with a conditional notice of termination of the Commitments as contemplated by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then such notice of prepayment may be revoked if such notice of termination is revoked in accordance with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Promptly following receipt of any such notice relating to a Borrowing, the Administrative Agent shall advise the Lenders of the contents thereof. Each partial prepayment of any Borrowing shall be in an amount that is an integral multiple of $1,000,000 and not less than $1,000,000 in the case of an ABR Borrowing, or $3,000,000 in the case of a SOFR Borrowing. Each prepayment of a Borrowing shall be applied ratably to the Loans included in the prepaid Borrowing. Prepayments shall be accompanied by accrued interest to the extent required by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and any breakfunding payments due under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xml:space="preserve">. (a) The Borrower agrees to pay to the Administrative Agent for the account of each Lender a facility fee, which shall accrue at the Applicable Rate on the daily amount of the Commitment of such Lender (whether used or unused) during the period from and including the Effective Date to but excluding the date on which such Commitment terminates;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 if such Lender continues to have any Exposure after its Commitment terminates, then such facility fee shall continue to accrue on the daily amount of such Lender’s Exposure from and including the date on which its Commitment terminates to but excluding the date on which such Lender ceases to have any Exposure, and (ii) if such Commitment termination is pursuant to the conversion of such Lender’s Loans to Term Loans pursuant to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 xml:space="preserve">, such facility fee shall thereafter accrue on the daily outstanding principal amount of such Lender’s Term Loan from and including the date on which such conversion occurs to but excluding the date on which such Term Loan is paid in full. Accrued facility fees shall be payable in arrears on the last day of March, June, September and December of each year, on the date on which the Commitments terminate and, if applicable, on the Term Loan Maturity Date, commencing on the first such date to occur after the date hereof;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any facility fees accruing after the date on which the Commitments terminate (other than pursuant to the conversion of the Loans to Term Loans pursuant to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 shall be payable on demand. All facility fees shall be computed on the basis of a year of 360 days and shall be payable for the actual number of days elapsed (including the first day but excluding the last day).</w:t>
      </w:r>
    </w:p>
    <w:p>
      <w:pPr>
        <w:spacing w:after="0" w:line="190" w:lineRule="exact"/>
        <w:rPr>
          <w:sz w:val="20"/>
          <w:szCs w:val="20"/>
          <w:color w:val="auto"/>
        </w:rPr>
      </w:pPr>
    </w:p>
    <w:p>
      <w:pPr>
        <w:ind w:left="700" w:hanging="264"/>
        <w:spacing w:after="0"/>
        <w:tabs>
          <w:tab w:leader="none" w:pos="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240" w:firstLine="436"/>
        <w:spacing w:after="0" w:line="282" w:lineRule="auto"/>
        <w:tabs>
          <w:tab w:leader="none" w:pos="6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to the Administrative Agent, for its own account, fees payable in the amounts and at the times separately agreed upon between the Borrower and the Administrative Agent.</w:t>
      </w:r>
    </w:p>
    <w:p>
      <w:pPr>
        <w:spacing w:after="0" w:line="161" w:lineRule="exact"/>
        <w:rPr>
          <w:rFonts w:ascii="Times New Roman" w:cs="Times New Roman" w:eastAsia="Times New Roman" w:hAnsi="Times New Roman"/>
          <w:sz w:val="18"/>
          <w:szCs w:val="18"/>
          <w:color w:val="auto"/>
        </w:rPr>
      </w:pPr>
    </w:p>
    <w:p>
      <w:pPr>
        <w:ind w:right="200" w:firstLine="436"/>
        <w:spacing w:after="0" w:line="282" w:lineRule="auto"/>
        <w:tabs>
          <w:tab w:leader="none" w:pos="6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payable hereunder shall be paid on the dates due, in immediately available funds, to the Administrative Agent for distribution, in the case of facility fees and participation fees, to the Lenders. Fees paid shall not be refundable under any circumstances.</w:t>
      </w:r>
    </w:p>
    <w:p>
      <w:pPr>
        <w:spacing w:after="0" w:line="161" w:lineRule="exact"/>
        <w:rPr>
          <w:rFonts w:ascii="Times New Roman" w:cs="Times New Roman" w:eastAsia="Times New Roman" w:hAnsi="Times New Roman"/>
          <w:sz w:val="18"/>
          <w:szCs w:val="18"/>
          <w:color w:val="auto"/>
        </w:rPr>
      </w:pPr>
    </w:p>
    <w:p>
      <w:pPr>
        <w:ind w:right="100" w:firstLine="436"/>
        <w:spacing w:after="0" w:line="289" w:lineRule="auto"/>
        <w:tabs>
          <w:tab w:leader="none" w:pos="68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Anything herein to the contrary notwithstanding, during such period as a Lender is a Defaulting Lender, such Defaulting Lender will not be entitled to any facility fees accruing during such period pursuant to </w:t>
      </w:r>
      <w:r>
        <w:rPr>
          <w:rFonts w:ascii="Times New Roman" w:cs="Times New Roman" w:eastAsia="Times New Roman" w:hAnsi="Times New Roman"/>
          <w:sz w:val="17"/>
          <w:szCs w:val="17"/>
          <w:u w:val="single" w:color="auto"/>
          <w:color w:val="auto"/>
        </w:rPr>
        <w:t>Section 2.12(a)</w:t>
      </w:r>
      <w:r>
        <w:rPr>
          <w:rFonts w:ascii="Times New Roman" w:cs="Times New Roman" w:eastAsia="Times New Roman" w:hAnsi="Times New Roman"/>
          <w:sz w:val="17"/>
          <w:szCs w:val="17"/>
          <w:color w:val="auto"/>
        </w:rPr>
        <w:t xml:space="preserve"> with respect to any unfunded portion of such Lender’s Commitment (without prejudice to the rights of the Non-Defaulting Lenders in respect of any fees due such Non-Defaulting Lenders under such </w:t>
      </w:r>
      <w:r>
        <w:rPr>
          <w:rFonts w:ascii="Times New Roman" w:cs="Times New Roman" w:eastAsia="Times New Roman" w:hAnsi="Times New Roman"/>
          <w:sz w:val="17"/>
          <w:szCs w:val="17"/>
          <w:u w:val="single" w:color="auto"/>
          <w:color w:val="auto"/>
        </w:rPr>
        <w:t>Section 2.12(a)</w:t>
      </w:r>
      <w:r>
        <w:rPr>
          <w:rFonts w:ascii="Times New Roman" w:cs="Times New Roman" w:eastAsia="Times New Roman" w:hAnsi="Times New Roman"/>
          <w:sz w:val="17"/>
          <w:szCs w:val="17"/>
          <w:color w:val="auto"/>
        </w:rPr>
        <w: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0"/>
          </w:cols>
          <w:pgMar w:left="440" w:top="270" w:right="439" w:bottom="1440" w:gutter="0" w:footer="0" w:header="0"/>
        </w:sectPr>
      </w:pPr>
    </w:p>
    <w:bookmarkStart w:id="38" w:name="page39"/>
    <w:bookmarkEnd w:id="3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2.13.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436"/>
        <w:spacing w:after="0" w:line="312" w:lineRule="auto"/>
        <w:tabs>
          <w:tab w:leader="none" w:pos="68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Loans comprising each ABR Borrowing shall bear interest on each day at the Alternate Base Rate for such day plus an amount equal to the “ABR Spread” set forth in the pricing grid set forth in the defined term “Applicable Rate” that would be applicable to ABR Loans on such day.</w:t>
      </w:r>
    </w:p>
    <w:p>
      <w:pPr>
        <w:spacing w:after="0" w:line="139" w:lineRule="exact"/>
        <w:rPr>
          <w:rFonts w:ascii="Times New Roman" w:cs="Times New Roman" w:eastAsia="Times New Roman" w:hAnsi="Times New Roman"/>
          <w:sz w:val="17"/>
          <w:szCs w:val="17"/>
          <w:color w:val="auto"/>
        </w:rPr>
      </w:pPr>
    </w:p>
    <w:p>
      <w:pPr>
        <w:ind w:right="780" w:firstLine="436"/>
        <w:spacing w:after="0" w:line="282" w:lineRule="auto"/>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comprising each SOFR Borrowing shall bear interest on each day at Term SOFR for the Interest Period in effect for such Borrowing plus the Applicable Rate.</w:t>
      </w:r>
    </w:p>
    <w:p>
      <w:pPr>
        <w:spacing w:after="0" w:line="161" w:lineRule="exact"/>
        <w:rPr>
          <w:rFonts w:ascii="Times New Roman" w:cs="Times New Roman" w:eastAsia="Times New Roman" w:hAnsi="Times New Roman"/>
          <w:sz w:val="18"/>
          <w:szCs w:val="18"/>
          <w:color w:val="auto"/>
        </w:rPr>
      </w:pPr>
    </w:p>
    <w:p>
      <w:pPr>
        <w:jc w:val="both"/>
        <w:ind w:firstLine="436"/>
        <w:spacing w:after="0" w:line="281" w:lineRule="auto"/>
        <w:tabs>
          <w:tab w:leader="none" w:pos="68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or (ii) in the case of any other amount, 2% plus the rate applicable to ABR Loans as provided in paragraph (a) of this Section.</w:t>
      </w:r>
    </w:p>
    <w:p>
      <w:pPr>
        <w:spacing w:after="0" w:line="164" w:lineRule="exact"/>
        <w:rPr>
          <w:rFonts w:ascii="Times New Roman" w:cs="Times New Roman" w:eastAsia="Times New Roman" w:hAnsi="Times New Roman"/>
          <w:sz w:val="17"/>
          <w:szCs w:val="17"/>
          <w:color w:val="auto"/>
        </w:rPr>
      </w:pPr>
    </w:p>
    <w:p>
      <w:pPr>
        <w:ind w:right="200" w:firstLine="436"/>
        <w:spacing w:after="0" w:line="256" w:lineRule="auto"/>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Accrued interest on each Loan shall be payable in arrears on each Interest Payment Date for such Loan and upon termination of the Commitments, and, in the case of Term Loans, on the Term Loan Maturity Date;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 interest accrued pursuant to paragraph (c) of this Section shall be payable on demand, (ii) in the event of any repayment or prepayment of any Loan (other than a prepayment of an ABR Loan prior to the end of the Availability Period), accrued interest on the principal amount repaid or prepaid shall be payable on the date of such repayment or prepayment and (iii) in the event of any conversion of any SOFR Loan prior to the end of the current Interest Period therefor, accrued interest on such Loan shall be payable on the effective date of such conversion.</w:t>
      </w:r>
    </w:p>
    <w:p>
      <w:pPr>
        <w:spacing w:after="0" w:line="18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(e)  All interest determined by reference to Term SOFR or clauses (b) or (c) of the definition of “Alternate Base Rate” shall be computed on the basis of a year of 360 days, and all other interest shall be computed on the basis of a year of 365 days (or 366 days in a leap year), and in each case shall be payable for the actual number of days elapsed (including the first day but excluding the last day). The applicable Alternate Base Rate or Term SOFR shall be determined by the Administrative Agent, and such determination shall be conclusive absent manifest error.</w:t>
      </w:r>
    </w:p>
    <w:p>
      <w:pPr>
        <w:spacing w:after="0" w:line="18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(f)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spacing w:after="0" w:line="183" w:lineRule="exact"/>
        <w:rPr>
          <w:sz w:val="20"/>
          <w:szCs w:val="20"/>
          <w:color w:val="auto"/>
        </w:rPr>
      </w:pPr>
    </w:p>
    <w:p>
      <w:pPr>
        <w:ind w:right="7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Alternate Rate of Interest</w:t>
      </w:r>
      <w:r>
        <w:rPr>
          <w:rFonts w:ascii="Times New Roman" w:cs="Times New Roman" w:eastAsia="Times New Roman" w:hAnsi="Times New Roman"/>
          <w:sz w:val="18"/>
          <w:szCs w:val="18"/>
          <w:color w:val="auto"/>
        </w:rPr>
        <w:t>. Subject to clause (c) below, if prior to the commencement of any Interest Period for a SOFR Borrowing: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0"/>
          </w:cols>
          <w:pgMar w:left="440" w:top="270" w:right="479" w:bottom="1440" w:gutter="0" w:footer="0" w:header="0"/>
        </w:sectPr>
      </w:pPr>
    </w:p>
    <w:bookmarkStart w:id="39" w:name="page40"/>
    <w:bookmarkEnd w:id="39"/>
    <w:p>
      <w:pPr>
        <w:ind w:left="440" w:right="360" w:firstLine="42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the Administrative Agent determines (which determination shall be conclusive absent manifest error) that adequate and reasonable means do not exist for ascertaining Term SOFR for such Interest Period; or</w:t>
      </w:r>
    </w:p>
    <w:p>
      <w:pPr>
        <w:spacing w:after="0" w:line="54" w:lineRule="exact"/>
        <w:rPr>
          <w:sz w:val="20"/>
          <w:szCs w:val="20"/>
          <w:color w:val="auto"/>
        </w:rPr>
      </w:pPr>
    </w:p>
    <w:p>
      <w:pPr>
        <w:ind w:left="440" w:right="220" w:firstLine="423"/>
        <w:spacing w:after="0" w:line="282" w:lineRule="auto"/>
        <w:rPr>
          <w:sz w:val="20"/>
          <w:szCs w:val="20"/>
          <w:color w:val="auto"/>
        </w:rPr>
      </w:pPr>
      <w:r>
        <w:rPr>
          <w:rFonts w:ascii="Times New Roman" w:cs="Times New Roman" w:eastAsia="Times New Roman" w:hAnsi="Times New Roman"/>
          <w:sz w:val="18"/>
          <w:szCs w:val="18"/>
          <w:color w:val="auto"/>
        </w:rPr>
        <w:t>(b)  the Administrative Agent is advised by the Required Lenders that Term SOFR for such Interest Period will not adequately and fairly reflect the cost to such Lenders of making or maintaining their Loans included in such Borrowing for such Interest Period;</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then the Administrative Agent shall give notice thereof to the Borrower and the Lenders by telecopy as promptly as practicable thereafter and, until the Administrative Agent notifies the Borrower and the Lenders that the circumstances giving rise to such notice no longer exist, (i) any Interest Election Request that requests the conversion of any Borrowing to, or continuation of any Borrowing as, a SOFR Borrowing shall be ineffective, and (ii) if any Borrowing Request requests a SOFR Borrowing, such Borrowing shall be made as an ABR Borrowing;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if the circumstances giving rise to such notice affect only one Type of Borrowing, then the other Type of Borrowing shall be permitted.</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Benchmark Replacement Setting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40" w:firstLine="423"/>
        <w:spacing w:after="0" w:line="236"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Notwithstanding anything to the contrary herein or in any other loan document, if a Benchmark Replacement occurs prior to the Reference Time in respect of any setting of the then-current Benchmark, then such Benchmark Replacement will replace such Benchmark for all purposes hereunder in respect of any Benchmark setting at or after 5:00 p.m. (New York City time)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after the date notice of such Benchmark Replacement is provided to the Lenders without any amendment to, or further action or consent of any other party to, this Agreement so long as the Administrative Agent has not received, by such time, written notice of objection to such Benchmark Replacement from the Required Lenders.</w:t>
      </w:r>
    </w:p>
    <w:p>
      <w:pPr>
        <w:spacing w:after="0" w:line="92" w:lineRule="exact"/>
        <w:rPr>
          <w:sz w:val="20"/>
          <w:szCs w:val="20"/>
          <w:color w:val="auto"/>
        </w:rPr>
      </w:pPr>
    </w:p>
    <w:p>
      <w:pPr>
        <w:ind w:left="440" w:right="100" w:firstLine="423"/>
        <w:spacing w:after="0" w:line="261"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In connection with the implementation of a Benchmark Replacement, the Administrative Agent will have the right to make (in consultation with the Borrower) Conforming Changes from time to time and, notwithstanding anything to the contrary herein or in any other loan document, any amendments implementing such Conforming Changes will become effective without any further action or consent of any other party to this Agreement.</w:t>
      </w:r>
    </w:p>
    <w:p>
      <w:pPr>
        <w:spacing w:after="0" w:line="7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Notices; Standards for Decisions and Determinations</w:t>
      </w:r>
      <w:r>
        <w:rPr>
          <w:rFonts w:ascii="Times New Roman" w:cs="Times New Roman" w:eastAsia="Times New Roman" w:hAnsi="Times New Roman"/>
          <w:sz w:val="18"/>
          <w:szCs w:val="18"/>
          <w:color w:val="auto"/>
        </w:rPr>
        <w:t>. The Administrative Agent will promptly notify the Borrower and the Lenders of</w:t>
      </w:r>
    </w:p>
    <w:p>
      <w:pPr>
        <w:spacing w:after="0" w:line="27" w:lineRule="exact"/>
        <w:rPr>
          <w:sz w:val="20"/>
          <w:szCs w:val="20"/>
          <w:color w:val="auto"/>
        </w:rPr>
      </w:pPr>
    </w:p>
    <w:p>
      <w:pPr>
        <w:ind w:left="440" w:right="40" w:hanging="4"/>
        <w:spacing w:after="0" w:line="270" w:lineRule="auto"/>
        <w:tabs>
          <w:tab w:leader="none" w:pos="73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implementation of any Benchmark Replacement, (B) the effectiveness of any Conforming Changes, and (C) the removal or reinstatement of any tenor of a Benchmark pursuant to </w:t>
      </w:r>
      <w:r>
        <w:rPr>
          <w:rFonts w:ascii="Times New Roman" w:cs="Times New Roman" w:eastAsia="Times New Roman" w:hAnsi="Times New Roman"/>
          <w:sz w:val="17"/>
          <w:szCs w:val="17"/>
          <w:u w:val="single" w:color="auto"/>
          <w:color w:val="auto"/>
        </w:rPr>
        <w:t>Section 2.14(c)(iv)</w:t>
      </w:r>
      <w:r>
        <w:rPr>
          <w:rFonts w:ascii="Times New Roman" w:cs="Times New Roman" w:eastAsia="Times New Roman" w:hAnsi="Times New Roman"/>
          <w:sz w:val="17"/>
          <w:szCs w:val="17"/>
          <w:color w:val="auto"/>
        </w:rPr>
        <w:t xml:space="preserve"> below. Any determination, decision or election that may be made by the Administrative Agent or, if applicable, any Lender (or group of Lenders) pursuant to this </w:t>
      </w:r>
      <w:r>
        <w:rPr>
          <w:rFonts w:ascii="Times New Roman" w:cs="Times New Roman" w:eastAsia="Times New Roman" w:hAnsi="Times New Roman"/>
          <w:sz w:val="17"/>
          <w:szCs w:val="17"/>
          <w:u w:val="single" w:color="auto"/>
          <w:color w:val="auto"/>
        </w:rPr>
        <w:t>Section 2.14(c)</w:t>
      </w:r>
      <w:r>
        <w:rPr>
          <w:rFonts w:ascii="Times New Roman" w:cs="Times New Roman" w:eastAsia="Times New Roman" w:hAnsi="Times New Roman"/>
          <w:sz w:val="17"/>
          <w:szCs w:val="17"/>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reasonable discretion and without consent from any other party to this Agreement, except, in each case, as expressly required pursuant to this </w:t>
      </w:r>
      <w:r>
        <w:rPr>
          <w:rFonts w:ascii="Times New Roman" w:cs="Times New Roman" w:eastAsia="Times New Roman" w:hAnsi="Times New Roman"/>
          <w:sz w:val="17"/>
          <w:szCs w:val="17"/>
          <w:u w:val="single" w:color="auto"/>
          <w:color w:val="auto"/>
        </w:rPr>
        <w:t>Section 2.14(c)</w:t>
      </w:r>
      <w:r>
        <w:rPr>
          <w:rFonts w:ascii="Times New Roman" w:cs="Times New Roman" w:eastAsia="Times New Roman" w:hAnsi="Times New Roman"/>
          <w:sz w:val="17"/>
          <w:szCs w:val="17"/>
          <w:color w:val="auto"/>
        </w:rPr>
        <w: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40" w:name="page41"/>
    <w:bookmarkEnd w:id="40"/>
    <w:p>
      <w:pPr>
        <w:ind w:left="440" w:firstLine="419"/>
        <w:spacing w:after="0" w:line="253" w:lineRule="auto"/>
        <w:tabs>
          <w:tab w:leader="none" w:pos="116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Unavailability of Tenor of Benchmark</w:t>
      </w:r>
      <w:r>
        <w:rPr>
          <w:rFonts w:ascii="Times New Roman" w:cs="Times New Roman" w:eastAsia="Times New Roman" w:hAnsi="Times New Roman"/>
          <w:sz w:val="18"/>
          <w:szCs w:val="18"/>
          <w:color w:val="auto"/>
        </w:rPr>
        <w:t>. Notwithstanding anything to the contrary herein, at any time (including in connection with the implementation of a Benchmark Replacement), (A) if the then-current Benchmark is a term rate (including Term SOFR)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or will no longer be representative for a Benchmark (including a Benchmark Replacement), then the Administrative Agent may (and, upon request of the Borrower and as soon as commercially reasonable, shall) modify the definition of “Interest Period” for all Benchmark settings at or after such time to reinstate such previously removed tenor.</w:t>
      </w:r>
    </w:p>
    <w:p>
      <w:pPr>
        <w:spacing w:after="0" w:line="19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Illegality; Increased Costs</w:t>
      </w:r>
      <w:r>
        <w:rPr>
          <w:rFonts w:ascii="Times New Roman" w:cs="Times New Roman" w:eastAsia="Times New Roman" w:hAnsi="Times New Roman"/>
          <w:sz w:val="18"/>
          <w:szCs w:val="18"/>
          <w:color w:val="auto"/>
        </w:rPr>
        <w:t xml:space="preserve">. (a) If any Change in Law shall make it unlawful or impossible for any Lender to make, maintain or fund its SOFR Loans, such Lender shall so notify the Administrative Agent. Upon receipt of such notice, the Administrative Agent shall immediately give notice thereof to the other Lenders and to the Borrower, whereupon until such Lender notifies the Borrower and the Administrative Agent that the circumstances giving rise to such suspension no longer exist, the obligation of such Lender to make SOFR Loans shall be suspended. If such Lender shall determine that it may not lawfully continue to maintain and fund any of its outstanding SOFR Loans to maturity and shall so specify in such notice, the Borrower shall immediately prepay (which prepayment shall not be subject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in full the then outstanding principal amount of such SOFR Loans, together with the accrued interest thereon.</w:t>
      </w:r>
    </w:p>
    <w:p>
      <w:pPr>
        <w:spacing w:after="0" w:line="189" w:lineRule="exact"/>
        <w:rPr>
          <w:sz w:val="20"/>
          <w:szCs w:val="20"/>
          <w:color w:val="auto"/>
        </w:rPr>
      </w:pPr>
    </w:p>
    <w:p>
      <w:pPr>
        <w:ind w:left="700" w:hanging="264"/>
        <w:spacing w:after="0"/>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Change in Law shall:</w:t>
      </w:r>
    </w:p>
    <w:p>
      <w:pPr>
        <w:spacing w:after="0" w:line="225"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07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impose, modify or deem applicable any reserve, special deposit or similar requirement against assets of, deposits with or for the account of, or credit extended by, any Lender (except any such reserve requirement reflected in </w:t>
      </w:r>
      <w:r>
        <w:rPr>
          <w:rFonts w:ascii="Times New Roman" w:cs="Times New Roman" w:eastAsia="Times New Roman" w:hAnsi="Times New Roman"/>
          <w:sz w:val="18"/>
          <w:szCs w:val="18"/>
          <w:u w:val="single" w:color="auto"/>
          <w:color w:val="auto"/>
        </w:rPr>
        <w:t>Section 2.13(f))</w:t>
      </w:r>
      <w:r>
        <w:rPr>
          <w:rFonts w:ascii="Times New Roman" w:cs="Times New Roman" w:eastAsia="Times New Roman" w:hAnsi="Times New Roman"/>
          <w:sz w:val="18"/>
          <w:szCs w:val="18"/>
          <w:color w:val="auto"/>
        </w:rPr>
        <w:t>; or</w:t>
      </w:r>
    </w:p>
    <w:p>
      <w:pPr>
        <w:spacing w:after="0" w:line="16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any other condition affecting this Agreement or SOFR Loans made by such Lender;</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of making, converting to, continuing or maintaining any SOFR Loan (or of maintaining its obligation to make any such Loan) or to reduce the amount of any sum received or receivable by such Lender hereunder (whether of principal, interest or otherwise), then the Borrower will pay to such Lender such additional amount or amounts as will compensate such Lender for such additional costs incurred or reduction suffered.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41" w:name="page42"/>
    <w:bookmarkEnd w:id="41"/>
    <w:p>
      <w:pPr>
        <w:ind w:right="60" w:firstLine="436"/>
        <w:spacing w:after="0" w:line="256" w:lineRule="auto"/>
        <w:tabs>
          <w:tab w:leader="none" w:pos="68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Lender determines that any Change in Law regarding capital or liquidity requirements has or would have the effect of reducing the rate of return on such Lender’s capital or on the capital of such Lender’s holding company, if any, as a consequence of this Agreement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the Borrower will pay to such Lender such additional amount or amounts as will compensate such Lender or such Lender’s holding company for any such reduction suffered.</w:t>
      </w:r>
    </w:p>
    <w:p>
      <w:pPr>
        <w:spacing w:after="0" w:line="187" w:lineRule="exact"/>
        <w:rPr>
          <w:rFonts w:ascii="Times New Roman" w:cs="Times New Roman" w:eastAsia="Times New Roman" w:hAnsi="Times New Roman"/>
          <w:sz w:val="18"/>
          <w:szCs w:val="18"/>
          <w:color w:val="auto"/>
        </w:rPr>
      </w:pPr>
    </w:p>
    <w:p>
      <w:pPr>
        <w:jc w:val="both"/>
        <w:ind w:right="100" w:firstLine="436"/>
        <w:spacing w:after="0" w:line="258" w:lineRule="auto"/>
        <w:tabs>
          <w:tab w:leader="none" w:pos="6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 Lender setting forth, in reasonable detail showing the computation thereof, the amount or amounts necessary to compensate such Lender or its holding company, as the case may be, as specified in paragraphs (a), (b) or (c) of this Section shall be delivered to the Borrower and shall be conclusive absent manifest error. Such certificate shall further certify that such Lender is making similar demands of its other similarly situated borrowers. The Borrower shall pay such Lender the amount shown as due on any such certificate within 10 days after receipt thereof, if such certificate complies herewith.</w:t>
      </w:r>
    </w:p>
    <w:p>
      <w:pPr>
        <w:spacing w:after="0" w:line="183" w:lineRule="exact"/>
        <w:rPr>
          <w:rFonts w:ascii="Times New Roman" w:cs="Times New Roman" w:eastAsia="Times New Roman" w:hAnsi="Times New Roman"/>
          <w:sz w:val="18"/>
          <w:szCs w:val="18"/>
          <w:color w:val="auto"/>
        </w:rPr>
      </w:pPr>
    </w:p>
    <w:p>
      <w:pPr>
        <w:ind w:right="20" w:firstLine="436"/>
        <w:spacing w:after="0" w:line="256" w:lineRule="auto"/>
        <w:tabs>
          <w:tab w:leader="none" w:pos="68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or delay on the part of any Lender to demand compensation pursuant to this Section shall not constitute a waiver of such Lender’s right to demand such compensation;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Borrower shall not be required to compensate a Lender pursuant to this Section for any increased costs or reductions incurred more than 90 days prior to the date that such Lender notifies the Borrower of the Change in Law giving rise to such increased costs or reductions and of such Lender’s intention to claim compensation therefor;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Change in Law giving rise to such increased costs or reductions is retroactive, then the 90-day period referred to above shall be extended to include the period of retroactive effect thereof (to the extent that such period of retroactive effect is not already included in such 90-day period).</w:t>
      </w:r>
    </w:p>
    <w:p>
      <w:pPr>
        <w:spacing w:after="0" w:line="18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Break Funding Payments</w:t>
      </w:r>
      <w:r>
        <w:rPr>
          <w:rFonts w:ascii="Times New Roman" w:cs="Times New Roman" w:eastAsia="Times New Roman" w:hAnsi="Times New Roman"/>
          <w:sz w:val="18"/>
          <w:szCs w:val="18"/>
          <w:color w:val="auto"/>
        </w:rPr>
        <w:t xml:space="preserve">. In the event of (a) the payment of any principal of any SOFR Loan other than on the last day of an Interest Period applicable thereto (including as a result of an Event of Default), (b) the conversion of any SOFR Loan other than on the last day of the Interest Period applicable thereto, (c) the failure to borrow, convert, continue or prepay any Loan on the date specified in any notice delivered pursuant hereto (regardless of whether such notice may be revoked under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and is revoked in accordance therewith), or (d) the assignment of any SOFR Loan other than on the last day of the Interest Period applicable thereto as a result of a request by the Borrower pursuant to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then, in any such event, the Borrower shall compensate each Lender for the loss, cost and expense (excluding loss of anticipated profits) attributable to such event. A certificate of any Lender setting forth, in reasonable detail showing the computation thereof, any amount or amounts that such Lender is entitled to receive pursuant to this Section shall be delivered to the Borrower and shall be conclusive absent manifest error. The Borrower shall pay such Lender the amount shown as due on any such certificate within 10 days after receipt thereof, if such certificate complies herewith.</w:t>
      </w:r>
    </w:p>
    <w:p>
      <w:pPr>
        <w:spacing w:after="0" w:line="188"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(a) Any and all payments by or on account of any obligation of the Borrower hereunder shall be made free and clear of and without deduction for any Indemnified Taxes or Other Taxes;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if the Borrower shall be required to deduct any Indemnified Taxes or Other Taxes from such payments, then (i) the sum payable shall be increased as necessary so that after making all required deductions (including deductions applicable to additional sums payable under this Section) the Administrative Agent or any Lender (as the case may be) receives an amount equal to the sum it would have received had no such deductions been made, (ii) the Borrower shall make such deductions and (iii) the Borrower shall pay the full amount deducted to the relevant Governmental Authority in accordance with applicable law.</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42" w:name="page43"/>
    <w:bookmarkEnd w:id="42"/>
    <w:p>
      <w:pPr>
        <w:ind w:left="-20" w:right="940" w:firstLine="436"/>
        <w:spacing w:after="0" w:line="282" w:lineRule="auto"/>
        <w:tabs>
          <w:tab w:leader="none" w:pos="67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addition, without duplication of any obligation in </w:t>
      </w:r>
      <w:r>
        <w:rPr>
          <w:rFonts w:ascii="Times New Roman" w:cs="Times New Roman" w:eastAsia="Times New Roman" w:hAnsi="Times New Roman"/>
          <w:sz w:val="18"/>
          <w:szCs w:val="18"/>
          <w:u w:val="single" w:color="auto"/>
          <w:color w:val="auto"/>
        </w:rPr>
        <w:t>Section 2.17(a)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the Borrower shall pay any Other Taxes to the relevant Governmental Authority in accordance with applicable law.</w:t>
      </w:r>
    </w:p>
    <w:p>
      <w:pPr>
        <w:spacing w:after="0" w:line="161" w:lineRule="exact"/>
        <w:rPr>
          <w:rFonts w:ascii="Times New Roman" w:cs="Times New Roman" w:eastAsia="Times New Roman" w:hAnsi="Times New Roman"/>
          <w:sz w:val="18"/>
          <w:szCs w:val="18"/>
          <w:color w:val="auto"/>
        </w:rPr>
      </w:pPr>
    </w:p>
    <w:p>
      <w:pPr>
        <w:ind w:left="-20" w:right="20" w:firstLine="436"/>
        <w:spacing w:after="0" w:line="253" w:lineRule="auto"/>
        <w:tabs>
          <w:tab w:leader="none" w:pos="66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duplication of any other obligation in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the Borrower shall indemnify the Administrative Agent and each Lender, within 10 days after written demand therefor, for the full amount of any Indemnified Taxes or Other Taxes paid by the Administrative Agent or such Lender, as the case may be, on or with respect to any payment by or on account of any obligation of the Borrower hereunder (including Indemnified Taxes or Other Taxes imposed or asserted on or attributable to amounts payable under this Section) and any penalties, interest and reasonable expenses arising therefrom or with respect thereto, whether or not such Indemnified Taxes or Other Taxes were correctly or legally imposed or asserted by the relevant Governmental Authority;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Borrower shall not be required to indemnify or reimburse the Administrative Agent or a Lender pursuant to this Section for any Indemnified Taxes or Other Taxes imposed or asserted more than 90 days prior to the date that the Administrative Agent or such Lender notifies the Borrower of the Indemnified Taxes or Other Taxes imposed or asserted and of the Administrative Agent’s or such Lender’s intention to claim compensation therefor;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Indemnified Taxes or Other Taxes imposed or asserted giving rise to such claims are retroactive, then the 90-day period referred to above shall be extended to include the period of retroactive effect thereof (to the extent that such period of retroactive effect is not already included in such 90-day period). A certificate setting forth, in reasonable detail showing the computation thereof, the amount of such payment or liability delivered to the Borrower by a Lender, or by the Administrative Agent on its own behalf or on behalf of a Lender, shall be conclusive absent manifest error.</w:t>
      </w:r>
    </w:p>
    <w:p>
      <w:pPr>
        <w:spacing w:after="0" w:line="187" w:lineRule="exact"/>
        <w:rPr>
          <w:rFonts w:ascii="Times New Roman" w:cs="Times New Roman" w:eastAsia="Times New Roman" w:hAnsi="Times New Roman"/>
          <w:sz w:val="18"/>
          <w:szCs w:val="18"/>
          <w:color w:val="auto"/>
        </w:rPr>
      </w:pPr>
    </w:p>
    <w:p>
      <w:pPr>
        <w:ind w:left="-20" w:firstLine="436"/>
        <w:spacing w:after="0" w:line="266" w:lineRule="auto"/>
        <w:tabs>
          <w:tab w:leader="none" w:pos="67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any payment of Indemnified Taxes or Other Taxes by the Borrower to a Governmental Authority,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5" w:lineRule="exact"/>
        <w:rPr>
          <w:rFonts w:ascii="Times New Roman" w:cs="Times New Roman" w:eastAsia="Times New Roman" w:hAnsi="Times New Roman"/>
          <w:sz w:val="18"/>
          <w:szCs w:val="18"/>
          <w:color w:val="auto"/>
        </w:rPr>
      </w:pPr>
    </w:p>
    <w:p>
      <w:pPr>
        <w:ind w:left="660" w:hanging="244"/>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Lenders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20" w:right="40" w:firstLine="419"/>
        <w:spacing w:after="0" w:line="254" w:lineRule="auto"/>
        <w:tabs>
          <w:tab w:leader="none" w:pos="105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any law, rule or regulation or in the interpretation or application thereof by any Governmental Authority or reasonably requested by the Borrower or the Administrative Agent as will enable the Borrower or the Administrative Agent to determine whether or not such Lender is subject to backup withholding or information reporting requirements.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60"/>
          </w:cols>
          <w:pgMar w:left="460" w:top="270" w:right="479" w:bottom="1440" w:gutter="0" w:footer="0" w:header="0"/>
        </w:sectPr>
      </w:pPr>
    </w:p>
    <w:bookmarkStart w:id="43" w:name="page44"/>
    <w:bookmarkEnd w:id="43"/>
    <w:p>
      <w:pPr>
        <w:ind w:left="4"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8"/>
          <w:szCs w:val="18"/>
          <w:u w:val="single" w:color="auto"/>
          <w:color w:val="auto"/>
        </w:rPr>
        <w:t>Section 2.17(f)(ii)(A)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0" w:lineRule="exact"/>
        <w:rPr>
          <w:sz w:val="20"/>
          <w:szCs w:val="20"/>
          <w:color w:val="auto"/>
        </w:rPr>
      </w:pPr>
    </w:p>
    <w:p>
      <w:pPr>
        <w:ind w:left="684" w:hanging="261"/>
        <w:spacing w:after="0"/>
        <w:tabs>
          <w:tab w:leader="none" w:pos="68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in the event that the Borrower is a “United States person” as defined in section 7701(a)</w:t>
      </w:r>
    </w:p>
    <w:p>
      <w:pPr>
        <w:spacing w:after="0" w:line="27"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w:t>
      </w:r>
    </w:p>
    <w:p>
      <w:pPr>
        <w:spacing w:after="0" w:line="206" w:lineRule="exact"/>
        <w:rPr>
          <w:rFonts w:ascii="Times New Roman" w:cs="Times New Roman" w:eastAsia="Times New Roman" w:hAnsi="Times New Roman"/>
          <w:sz w:val="18"/>
          <w:szCs w:val="18"/>
          <w:color w:val="auto"/>
        </w:rPr>
      </w:pPr>
    </w:p>
    <w:p>
      <w:pPr>
        <w:ind w:left="4" w:right="220" w:firstLine="948"/>
        <w:spacing w:after="0" w:line="261" w:lineRule="auto"/>
        <w:tabs>
          <w:tab w:leader="none" w:pos="125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“United States person” as defined in section 7701(a)(30) of the Code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United States federal backup withholding tax;</w:t>
      </w:r>
    </w:p>
    <w:p>
      <w:pPr>
        <w:spacing w:after="0" w:line="179" w:lineRule="exact"/>
        <w:rPr>
          <w:rFonts w:ascii="Times New Roman" w:cs="Times New Roman" w:eastAsia="Times New Roman" w:hAnsi="Times New Roman"/>
          <w:sz w:val="18"/>
          <w:szCs w:val="18"/>
          <w:color w:val="auto"/>
        </w:rPr>
      </w:pPr>
    </w:p>
    <w:p>
      <w:pPr>
        <w:ind w:left="4" w:right="220" w:firstLine="948"/>
        <w:spacing w:after="0" w:line="261" w:lineRule="auto"/>
        <w:tabs>
          <w:tab w:leader="none" w:pos="124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80" w:lineRule="exact"/>
        <w:rPr>
          <w:sz w:val="20"/>
          <w:szCs w:val="20"/>
          <w:color w:val="auto"/>
        </w:rPr>
      </w:pPr>
    </w:p>
    <w:p>
      <w:pPr>
        <w:ind w:left="4" w:right="180" w:firstLine="1371"/>
        <w:spacing w:after="0" w:line="258" w:lineRule="auto"/>
        <w:tabs>
          <w:tab w:leader="none" w:pos="163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payments of interest under any loan document, executed copies of IRS Form W-8BEN-E or IRS Form W-8BEN, as applicable, establishing an exemption from, or reduction of, United States federal withholding Tax pursuant to the “interest” article of an income tax treaty to which the United States is a party, and with respect to any other applicable payments under any loan document, IRS Form W-8BEN-E or IRS Form W-8BEN, as applicable, establishing an exemption from, or reduction of, United States federal withholding tax pursuant to the “business profits” or “other income” article of such tax treaty;</w:t>
      </w:r>
    </w:p>
    <w:p>
      <w:pPr>
        <w:spacing w:after="0" w:line="183" w:lineRule="exact"/>
        <w:rPr>
          <w:rFonts w:ascii="Times New Roman" w:cs="Times New Roman" w:eastAsia="Times New Roman" w:hAnsi="Times New Roman"/>
          <w:sz w:val="18"/>
          <w:szCs w:val="18"/>
          <w:color w:val="auto"/>
        </w:rPr>
      </w:pPr>
    </w:p>
    <w:p>
      <w:pPr>
        <w:ind w:left="1624" w:hanging="249"/>
        <w:spacing w:after="0"/>
        <w:tabs>
          <w:tab w:leader="none" w:pos="16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copies of IRS Form W-8ECI;</w:t>
      </w:r>
    </w:p>
    <w:p>
      <w:pPr>
        <w:spacing w:after="0" w:line="225" w:lineRule="exact"/>
        <w:rPr>
          <w:rFonts w:ascii="Times New Roman" w:cs="Times New Roman" w:eastAsia="Times New Roman" w:hAnsi="Times New Roman"/>
          <w:sz w:val="18"/>
          <w:szCs w:val="18"/>
          <w:color w:val="auto"/>
        </w:rPr>
      </w:pPr>
    </w:p>
    <w:p>
      <w:pPr>
        <w:ind w:left="4" w:right="60" w:firstLine="1371"/>
        <w:spacing w:after="0" w:line="261" w:lineRule="auto"/>
        <w:tabs>
          <w:tab w:leader="none" w:pos="163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substantially in the form of </w:t>
      </w:r>
      <w:r>
        <w:rPr>
          <w:rFonts w:ascii="Times New Roman" w:cs="Times New Roman" w:eastAsia="Times New Roman" w:hAnsi="Times New Roman"/>
          <w:sz w:val="18"/>
          <w:szCs w:val="18"/>
          <w:u w:val="single" w:color="auto"/>
          <w:color w:val="auto"/>
        </w:rPr>
        <w:t>Exhibit G-1</w:t>
      </w:r>
      <w:r>
        <w:rPr>
          <w:rFonts w:ascii="Times New Roman" w:cs="Times New Roman" w:eastAsia="Times New Roman" w:hAnsi="Times New Roman"/>
          <w:sz w:val="18"/>
          <w:szCs w:val="18"/>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and executed copies of IRS Form W-8BEN-E or IRS Form W-8BEN, as applicable; or</w:t>
      </w:r>
    </w:p>
    <w:p>
      <w:pPr>
        <w:spacing w:after="0" w:line="179" w:lineRule="exact"/>
        <w:rPr>
          <w:rFonts w:ascii="Times New Roman" w:cs="Times New Roman" w:eastAsia="Times New Roman" w:hAnsi="Times New Roman"/>
          <w:sz w:val="18"/>
          <w:szCs w:val="18"/>
          <w:color w:val="auto"/>
        </w:rPr>
      </w:pPr>
    </w:p>
    <w:p>
      <w:pPr>
        <w:ind w:left="4" w:firstLine="1371"/>
        <w:spacing w:after="0" w:line="258" w:lineRule="auto"/>
        <w:tabs>
          <w:tab w:leader="none" w:pos="163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executed copies of IRS Form W-8IMY, accompanied by IRS Form W-8ECI, IRS Form W-8BEN-E, IRS Form W-8BEN, a U.S. Tax Compliance Certificate substantially in the form of </w:t>
      </w:r>
      <w:r>
        <w:rPr>
          <w:rFonts w:ascii="Times New Roman" w:cs="Times New Roman" w:eastAsia="Times New Roman" w:hAnsi="Times New Roman"/>
          <w:sz w:val="18"/>
          <w:szCs w:val="18"/>
          <w:u w:val="single" w:color="auto"/>
          <w:color w:val="auto"/>
        </w:rPr>
        <w:t>Exhibit G-2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G-3</w:t>
      </w:r>
      <w:r>
        <w:rPr>
          <w:rFonts w:ascii="Times New Roman" w:cs="Times New Roman" w:eastAsia="Times New Roman" w:hAnsi="Times New Roman"/>
          <w:sz w:val="18"/>
          <w:szCs w:val="18"/>
          <w:color w:val="auto"/>
        </w:rPr>
        <w:t xml:space="preserve">, IRS Form W-9, and/or other certification documents from each beneficial owner,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8"/>
          <w:szCs w:val="18"/>
          <w:u w:val="single" w:color="auto"/>
          <w:color w:val="auto"/>
        </w:rPr>
        <w:t>Exhibit G-4</w:t>
      </w:r>
      <w:r>
        <w:rPr>
          <w:rFonts w:ascii="Times New Roman" w:cs="Times New Roman" w:eastAsia="Times New Roman" w:hAnsi="Times New Roman"/>
          <w:sz w:val="18"/>
          <w:szCs w:val="18"/>
          <w:color w:val="auto"/>
        </w:rPr>
        <w:t xml:space="preserve"> on behalf of each such direct and indirect partner; and</w:t>
      </w:r>
    </w:p>
    <w:p>
      <w:pPr>
        <w:spacing w:after="0" w:line="116"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564"/>
          </w:cols>
          <w:pgMar w:left="876" w:top="270" w:right="459" w:bottom="1440" w:gutter="0" w:footer="0" w:header="0"/>
        </w:sectPr>
      </w:pPr>
    </w:p>
    <w:bookmarkStart w:id="44" w:name="page45"/>
    <w:bookmarkEnd w:id="44"/>
    <w:p>
      <w:pPr>
        <w:ind w:left="420" w:right="240" w:firstLine="419"/>
        <w:spacing w:after="0" w:line="255" w:lineRule="auto"/>
        <w:tabs>
          <w:tab w:leader="none" w:pos="115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any law, rule or regulation or in the interpretation or application thereof by any Governmental Authority as a basis for claiming exemption from or a reduction in United States federal withholding tax, duly completed, together with such supplementary documentation as may be prescribed thereby to permit the Borrower or the Administrative Agent to determine the withholding or deduction required to be made.</w:t>
      </w:r>
    </w:p>
    <w:p>
      <w:pPr>
        <w:spacing w:after="0" w:line="189" w:lineRule="exact"/>
        <w:rPr>
          <w:sz w:val="20"/>
          <w:szCs w:val="20"/>
          <w:color w:val="auto"/>
        </w:rPr>
      </w:pPr>
    </w:p>
    <w:p>
      <w:pPr>
        <w:ind w:left="420"/>
        <w:spacing w:after="0" w:line="266" w:lineRule="auto"/>
        <w:rPr>
          <w:sz w:val="20"/>
          <w:szCs w:val="20"/>
          <w:color w:val="auto"/>
        </w:rPr>
      </w:pPr>
      <w:r>
        <w:rPr>
          <w:rFonts w:ascii="Times New Roman" w:cs="Times New Roman" w:eastAsia="Times New Roman" w:hAnsi="Times New Roman"/>
          <w:sz w:val="18"/>
          <w:szCs w:val="18"/>
          <w:color w:val="auto"/>
        </w:rPr>
        <w:t xml:space="preserve">Each Lender agrees that if any form or certification it previously delivered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176" w:lineRule="exact"/>
        <w:rPr>
          <w:sz w:val="20"/>
          <w:szCs w:val="20"/>
          <w:color w:val="auto"/>
        </w:rPr>
      </w:pPr>
    </w:p>
    <w:p>
      <w:pPr>
        <w:ind w:left="-20" w:firstLine="436"/>
        <w:spacing w:after="0" w:line="254" w:lineRule="auto"/>
        <w:tabs>
          <w:tab w:leader="none" w:pos="64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xml:space="preserve">. If a payment made to a Lender under any loan document would be subject to United States federal withholding tax imposed by FATCA if such Lender fails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any law, rule or regulation or in the interpretation or application thereof by any Governmental Authority (including as prescribed by section 1471(b)(3)(C)(i) of the Code) and such additional documentation reasonably requested by the Borrower or the Administrative Agent as may be necessary for the Borrower or the Administrative Agent to comply with its obligations under FATCA,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“FATCA” shall include any amendments made to FATCA after the date of this Agreement.</w:t>
      </w:r>
    </w:p>
    <w:p>
      <w:pPr>
        <w:spacing w:after="0" w:line="188" w:lineRule="exact"/>
        <w:rPr>
          <w:rFonts w:ascii="Times New Roman" w:cs="Times New Roman" w:eastAsia="Times New Roman" w:hAnsi="Times New Roman"/>
          <w:sz w:val="18"/>
          <w:szCs w:val="18"/>
          <w:color w:val="auto"/>
        </w:rPr>
      </w:pPr>
    </w:p>
    <w:p>
      <w:pPr>
        <w:ind w:left="-20" w:right="20" w:firstLine="436"/>
        <w:spacing w:after="0" w:line="253" w:lineRule="auto"/>
        <w:tabs>
          <w:tab w:leader="none" w:pos="67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xml:space="preserve">. If the Administrative Agent or a Lender determines, in its sole discretion exercised in good faith, that it has received a refund of any Indemnified Taxes or Other Taxes as to which it has been indemnified by the Borrower or with respect to which the Borrower has paid additional amounts pursuant to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it shall pay to the Borrower an amount equal to such refund (but only to the extent of indemnity payments made, or additional amounts paid, by the Borrower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with respect to the Indemnified Taxes or Other Taxes giving rise to such refund), net of all out-of-pocket expenses of the Administrative Agent or such Lender, as the case may be, and without interest (other than any interest paid by the relevant Governmental Authority with respect to such refund);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Borrower, upon the request of the Administrative Agent or such Lender, agrees to repay the amount paid over to the Borrower (plus any penalties, interest or other charges imposed by the relevant Governmental Authority) to the Administrative Agent or such Lender in the event the Administrative Agent or such Lender is required to repay such refund to such Governmental Authority. Notwithstanding anything to the contrary in this paragraph (g), in no event will the indemnified party be required to pay any amount to an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60"/>
          </w:cols>
          <w:pgMar w:left="460" w:top="270" w:right="479" w:bottom="1440" w:gutter="0" w:footer="0" w:header="0"/>
        </w:sectPr>
      </w:pPr>
    </w:p>
    <w:bookmarkStart w:id="45" w:name="page46"/>
    <w:bookmarkEnd w:id="4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shall not be construed to require the Administrative Agent or any Lender to make available its tax returns (or any other information relating to its taxes that it deems confidential) to the Borrower or any other Person.</w:t>
      </w:r>
    </w:p>
    <w:p>
      <w:pPr>
        <w:spacing w:after="0" w:line="183" w:lineRule="exact"/>
        <w:rPr>
          <w:sz w:val="20"/>
          <w:szCs w:val="20"/>
          <w:color w:val="auto"/>
        </w:rPr>
      </w:pPr>
    </w:p>
    <w:p>
      <w:pPr>
        <w:ind w:firstLine="436"/>
        <w:spacing w:after="0" w:line="266" w:lineRule="auto"/>
        <w:tabs>
          <w:tab w:leader="none" w:pos="69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a request by the Borrower under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 xml:space="preserve">, no Foreign Lender shall be entitled to the benefits of </w:t>
      </w:r>
      <w:r>
        <w:rPr>
          <w:rFonts w:ascii="Times New Roman" w:cs="Times New Roman" w:eastAsia="Times New Roman" w:hAnsi="Times New Roman"/>
          <w:sz w:val="18"/>
          <w:szCs w:val="18"/>
          <w:u w:val="single" w:color="auto"/>
          <w:color w:val="auto"/>
        </w:rPr>
        <w:t>Sections 2.17(a)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2.17(c)</w:t>
      </w:r>
      <w:r>
        <w:rPr>
          <w:rFonts w:ascii="Times New Roman" w:cs="Times New Roman" w:eastAsia="Times New Roman" w:hAnsi="Times New Roman"/>
          <w:sz w:val="18"/>
          <w:szCs w:val="18"/>
          <w:color w:val="auto"/>
        </w:rPr>
        <w:t xml:space="preserve"> if withholding tax is imposed on amounts payable to such Foreign Lender at the time such Foreign Lender becomes a party to this Agreement or designates a new lending office.</w:t>
      </w:r>
    </w:p>
    <w:p>
      <w:pPr>
        <w:spacing w:after="0" w:line="176"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Payments Generally; Pro Rata Treatment; Sharing of Set-offs</w:t>
      </w:r>
      <w:r>
        <w:rPr>
          <w:rFonts w:ascii="Times New Roman" w:cs="Times New Roman" w:eastAsia="Times New Roman" w:hAnsi="Times New Roman"/>
          <w:sz w:val="18"/>
          <w:szCs w:val="18"/>
          <w:color w:val="auto"/>
        </w:rPr>
        <w:t xml:space="preserve">. (a) The Borrower shall make each payment required to be made by it hereunder (whether of principal, interest or fees, or of amounts payable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or otherwise) prior to 1:00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in New York, New York at such payment account as designated by Administrative Agent, except that payments pursuant to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xml:space="preserve"> shall be made directly to the Persons entitled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if any Lender shall become a Defaulting Lender, from and after the date upon which such Lender shall have become a Defaulting Lender, any payment made on account of principal of or interest on the Loans shall be applied as set forth in </w:t>
      </w:r>
      <w:r>
        <w:rPr>
          <w:rFonts w:ascii="Times New Roman" w:cs="Times New Roman" w:eastAsia="Times New Roman" w:hAnsi="Times New Roman"/>
          <w:sz w:val="18"/>
          <w:szCs w:val="18"/>
          <w:u w:val="single" w:color="auto"/>
          <w:color w:val="auto"/>
        </w:rPr>
        <w:t>Section 2.21(a)(ii)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application of such payments in accordance herewith shall not constitute an Event of Default or a Default, and no payment of principal of or interest on the Loans of such Defaulting Lender shall be considered to be overdue, if, had such payments been applied without regard hereto, no such Event of Default or Default would have occurred and no such payment of principal of or interest on the Loans of such Defaulting Lender would have been overdue.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196" w:lineRule="exact"/>
        <w:rPr>
          <w:sz w:val="20"/>
          <w:szCs w:val="20"/>
          <w:color w:val="auto"/>
        </w:rPr>
      </w:pPr>
    </w:p>
    <w:p>
      <w:pPr>
        <w:ind w:right="20" w:firstLine="436"/>
        <w:spacing w:after="0" w:line="261" w:lineRule="auto"/>
        <w:tabs>
          <w:tab w:leader="none" w:pos="6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insufficient funds are received by and available to the Administrative Agent to pay fully all amounts of principal,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then due hereunder, ratably among the parties entitled thereto in accordance with the amounts of principal then due to such parties.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60"/>
          </w:cols>
          <w:pgMar w:left="440" w:top="270" w:right="499" w:bottom="1440" w:gutter="0" w:footer="0" w:header="0"/>
        </w:sectPr>
      </w:pPr>
    </w:p>
    <w:bookmarkStart w:id="46" w:name="page47"/>
    <w:bookmarkEnd w:id="46"/>
    <w:p>
      <w:pPr>
        <w:ind w:left="4" w:right="20" w:firstLine="436"/>
        <w:spacing w:after="0" w:line="269" w:lineRule="auto"/>
        <w:tabs>
          <w:tab w:leader="none" w:pos="689"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any Lender shall, by exercising any right of set-off or counterclaim or otherwise, obtain payment in respect of any principal of or interest on any of its Loans resulting in such Lender receiving payment of a greater proportion of the aggregate amount of its Loans and accrued interest thereon than the proportion received by any other Lender, then the Lender receiving such greater proportion shall purchase (for cash at face value) participations in the Loans of other Lenders to the extent necessary so that the benefit of all such payments shall be shared by the Lenders ratably in accordance with the aggregate amount of principal of and accrued interest on their respective Loans;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78" w:lineRule="exact"/>
        <w:rPr>
          <w:rFonts w:ascii="Times New Roman" w:cs="Times New Roman" w:eastAsia="Times New Roman" w:hAnsi="Times New Roman"/>
          <w:sz w:val="17"/>
          <w:szCs w:val="17"/>
          <w:color w:val="auto"/>
        </w:rPr>
      </w:pPr>
    </w:p>
    <w:p>
      <w:pPr>
        <w:ind w:left="4" w:right="80" w:firstLine="436"/>
        <w:spacing w:after="0" w:line="255" w:lineRule="auto"/>
        <w:tabs>
          <w:tab w:leader="none" w:pos="69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the amount due. In such event, if the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88" w:lineRule="exact"/>
        <w:rPr>
          <w:rFonts w:ascii="Times New Roman" w:cs="Times New Roman" w:eastAsia="Times New Roman" w:hAnsi="Times New Roman"/>
          <w:sz w:val="18"/>
          <w:szCs w:val="18"/>
          <w:color w:val="auto"/>
        </w:rPr>
      </w:pPr>
    </w:p>
    <w:p>
      <w:pPr>
        <w:ind w:left="4" w:right="200" w:firstLine="436"/>
        <w:spacing w:after="0" w:line="266" w:lineRule="auto"/>
        <w:tabs>
          <w:tab w:leader="none" w:pos="68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shall fail to make any payment required to be made by it pursuant to </w:t>
      </w:r>
      <w:r>
        <w:rPr>
          <w:rFonts w:ascii="Times New Roman" w:cs="Times New Roman" w:eastAsia="Times New Roman" w:hAnsi="Times New Roman"/>
          <w:sz w:val="18"/>
          <w:szCs w:val="18"/>
          <w:u w:val="single" w:color="auto"/>
          <w:color w:val="auto"/>
        </w:rPr>
        <w:t>Section 2.07(b)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2.18(d)</w:t>
      </w:r>
      <w:r>
        <w:rPr>
          <w:rFonts w:ascii="Times New Roman" w:cs="Times New Roman" w:eastAsia="Times New Roman" w:hAnsi="Times New Roman"/>
          <w:sz w:val="18"/>
          <w:szCs w:val="18"/>
          <w:color w:val="auto"/>
        </w:rPr>
        <w:t>,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176" w:lineRule="exact"/>
        <w:rPr>
          <w:sz w:val="20"/>
          <w:szCs w:val="20"/>
          <w:color w:val="auto"/>
        </w:rPr>
      </w:pPr>
    </w:p>
    <w:p>
      <w:pPr>
        <w:ind w:left="4" w:right="20" w:firstLine="440"/>
        <w:spacing w:after="0" w:line="270" w:lineRule="auto"/>
        <w:rPr>
          <w:sz w:val="20"/>
          <w:szCs w:val="20"/>
          <w:color w:val="auto"/>
        </w:rPr>
      </w:pPr>
      <w:r>
        <w:rPr>
          <w:rFonts w:ascii="Times New Roman" w:cs="Times New Roman" w:eastAsia="Times New Roman" w:hAnsi="Times New Roman"/>
          <w:sz w:val="17"/>
          <w:szCs w:val="17"/>
          <w:color w:val="auto"/>
        </w:rPr>
        <w:t xml:space="preserve">SECTION 2.19. </w:t>
      </w:r>
      <w:r>
        <w:rPr>
          <w:rFonts w:ascii="Times New Roman" w:cs="Times New Roman" w:eastAsia="Times New Roman" w:hAnsi="Times New Roman"/>
          <w:sz w:val="17"/>
          <w:szCs w:val="17"/>
          <w:u w:val="single" w:color="auto"/>
          <w:color w:val="auto"/>
        </w:rPr>
        <w:t>Mitigation Obligations; Replacement of Lenders</w:t>
      </w:r>
      <w:r>
        <w:rPr>
          <w:rFonts w:ascii="Times New Roman" w:cs="Times New Roman" w:eastAsia="Times New Roman" w:hAnsi="Times New Roman"/>
          <w:sz w:val="17"/>
          <w:szCs w:val="17"/>
          <w:color w:val="auto"/>
        </w:rPr>
        <w:t xml:space="preserve">. (a) If any Lender requests compensation under </w:t>
      </w:r>
      <w:r>
        <w:rPr>
          <w:rFonts w:ascii="Times New Roman" w:cs="Times New Roman" w:eastAsia="Times New Roman" w:hAnsi="Times New Roman"/>
          <w:sz w:val="17"/>
          <w:szCs w:val="17"/>
          <w:u w:val="single" w:color="auto"/>
          <w:color w:val="auto"/>
        </w:rPr>
        <w:t>Section 2.15</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2.13(f)</w:t>
      </w:r>
      <w:r>
        <w:rPr>
          <w:rFonts w:ascii="Times New Roman" w:cs="Times New Roman" w:eastAsia="Times New Roman" w:hAnsi="Times New Roman"/>
          <w:sz w:val="17"/>
          <w:szCs w:val="17"/>
          <w:color w:val="auto"/>
        </w:rPr>
        <w:t xml:space="preserve">, or if the Borrower is required to pay any additional amount to any Lender or any Governmental Authority for the account of any Lender pursuant to </w:t>
      </w:r>
      <w:r>
        <w:rPr>
          <w:rFonts w:ascii="Times New Roman" w:cs="Times New Roman" w:eastAsia="Times New Roman" w:hAnsi="Times New Roman"/>
          <w:sz w:val="17"/>
          <w:szCs w:val="17"/>
          <w:u w:val="single" w:color="auto"/>
          <w:color w:val="auto"/>
        </w:rPr>
        <w:t>Section 2.17</w:t>
      </w:r>
      <w:r>
        <w:rPr>
          <w:rFonts w:ascii="Times New Roman" w:cs="Times New Roman" w:eastAsia="Times New Roman" w:hAnsi="Times New Roman"/>
          <w:sz w:val="17"/>
          <w:szCs w:val="17"/>
          <w:color w:val="auto"/>
        </w:rPr>
        <w:t>,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w:t>
      </w:r>
    </w:p>
    <w:p>
      <w:pPr>
        <w:spacing w:after="0" w:line="3" w:lineRule="exact"/>
        <w:rPr>
          <w:sz w:val="20"/>
          <w:szCs w:val="20"/>
          <w:color w:val="auto"/>
        </w:rPr>
      </w:pPr>
    </w:p>
    <w:p>
      <w:pPr>
        <w:ind w:left="4" w:hanging="4"/>
        <w:spacing w:after="0" w:line="253" w:lineRule="auto"/>
        <w:tabs>
          <w:tab w:leader="none" w:pos="21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would eliminate or reduce amounts payable pursuant to </w:t>
      </w:r>
      <w:r>
        <w:rPr>
          <w:rFonts w:ascii="Times New Roman" w:cs="Times New Roman" w:eastAsia="Times New Roman" w:hAnsi="Times New Roman"/>
          <w:sz w:val="18"/>
          <w:szCs w:val="18"/>
          <w:u w:val="single" w:color="auto"/>
          <w:color w:val="auto"/>
        </w:rPr>
        <w:t>Section 2.13(f)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 Subject to the foregoing, Lenders agree to use reasonable efforts to select lending offices which will minimize taxes and other costs and expenses for the Borrower.</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4"/>
          </w:cols>
          <w:pgMar w:left="436" w:top="270" w:right="459" w:bottom="1440" w:gutter="0" w:footer="0" w:header="0"/>
        </w:sectPr>
      </w:pPr>
    </w:p>
    <w:bookmarkStart w:id="47" w:name="page48"/>
    <w:bookmarkEnd w:id="47"/>
    <w:p>
      <w:pPr>
        <w:ind w:firstLine="436"/>
        <w:spacing w:after="0" w:line="252" w:lineRule="auto"/>
        <w:tabs>
          <w:tab w:leader="none" w:pos="69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any Lender requests compensation under </w:t>
      </w:r>
      <w:r>
        <w:rPr>
          <w:rFonts w:ascii="Times New Roman" w:cs="Times New Roman" w:eastAsia="Times New Roman" w:hAnsi="Times New Roman"/>
          <w:sz w:val="18"/>
          <w:szCs w:val="18"/>
          <w:u w:val="single" w:color="auto"/>
          <w:color w:val="auto"/>
        </w:rPr>
        <w:t>Section 2.13(f)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if the Borrower is required to pay any additional amount to any Lender or any Governmental Authority for the account of any Lender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or if any Lender is a Defaulting Lender, then the Borrower may, at its sole expense and effort, upon notice to such Lender and the Administrative Agent, require such Lender to assign and delegate, without recourse (in accordance with and subject to the restrictions contained in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all its interests, rights and obligations under this Agreement to an assignee that shall assume such obligations at par (which assignee may be another Lender, if a Lender accepts such assignment);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 the Borrower shall have received the prior written consent of the Administrative Agent, which consent shall not unreasonably be withheld, (ii) such Lender shall have received payment of an amount equal to the outstanding principal of its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w:t>
      </w:r>
      <w:r>
        <w:rPr>
          <w:rFonts w:ascii="Times New Roman" w:cs="Times New Roman" w:eastAsia="Times New Roman" w:hAnsi="Times New Roman"/>
          <w:sz w:val="18"/>
          <w:szCs w:val="18"/>
          <w:u w:val="single" w:color="auto"/>
          <w:color w:val="auto"/>
        </w:rPr>
        <w:t>Section 2.13(f)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 If any Lender refuses to assign and delegate all its interests, rights and obligations under this Agreement after the Borrower has required such Lender to do so as a result of a claim for compensation under </w:t>
      </w:r>
      <w:r>
        <w:rPr>
          <w:rFonts w:ascii="Times New Roman" w:cs="Times New Roman" w:eastAsia="Times New Roman" w:hAnsi="Times New Roman"/>
          <w:sz w:val="18"/>
          <w:szCs w:val="18"/>
          <w:u w:val="single" w:color="auto"/>
          <w:color w:val="auto"/>
        </w:rPr>
        <w:t>Section 2.13(f)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such Lender shall not be entitled to receive such compensation or required payments.</w:t>
      </w:r>
    </w:p>
    <w:p>
      <w:pPr>
        <w:spacing w:after="0" w:line="196"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2.20. </w:t>
      </w:r>
      <w:r>
        <w:rPr>
          <w:rFonts w:ascii="Times New Roman" w:cs="Times New Roman" w:eastAsia="Times New Roman" w:hAnsi="Times New Roman"/>
          <w:sz w:val="18"/>
          <w:szCs w:val="18"/>
          <w:u w:val="single" w:color="auto"/>
          <w:color w:val="auto"/>
        </w:rPr>
        <w:t>Separateness</w:t>
      </w:r>
      <w:r>
        <w:rPr>
          <w:rFonts w:ascii="Times New Roman" w:cs="Times New Roman" w:eastAsia="Times New Roman" w:hAnsi="Times New Roman"/>
          <w:sz w:val="18"/>
          <w:szCs w:val="18"/>
          <w:color w:val="auto"/>
        </w:rPr>
        <w:t>. The Lenders acknowledge and affirm (i) their reliance on the separateness of EPD, Enterprise GP, Borrower and Manager from each other and from other Persons, including EPCO, EPCO Holdings, Inc. (“Finco”), Duncan Family Interests, Inc. (“DFI”), DFI GP Holdings L.P. (“DFI GP”) and DFI Holdings, LLC (“DFI Holdings”), (ii) that other creditors of the Borrower, Manager, EPD or Enterprise GP have likely advanced funds to such Persons in reliance upon the separateness of the Borrower, Manager, EPD and Enterprise GP from each other and from other Persons, including EPCO, Finco, DFI, DFI GP and DFI Holdings, (iii) that each of the Borrower, Manager, EPD and Enterprise GP have assets and liabilities that are separate from those of each other and from other Persons, including EPCO, Finco, DFI, DFI GP and DFI Holdings, (iv) that the Loans and other obligations owing under this Agreement, the Notes and documents related hereto or thereto have not been guaranteed by Manager, Enterprise GP, EPCO, Finco, DFI, DFI GP or DFI Holdings, and (v) that, except as other Persons may expressly assume or guarantee this Agreement, the Notes or any documents related hereto or thereto or any of the Loans or other obligations thereunder, the Lenders shall look solely to the Borrower and, pursuant to the EPD Guaranty Agreement, EPD, and their respective property and assets, and any property pledged as collateral with respect hereto or thereto, for the repayment of any amounts payable pursuant hereto or thereto and for satisfaction of any obligations owing to the Lenders hereunder or thereunder and that neither Enterprise GP nor Manager is personally liable to the Lenders for any amounts payable or any liability hereunder or thereunder.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0"/>
          </w:cols>
          <w:pgMar w:left="440" w:top="270" w:right="479" w:bottom="1440" w:gutter="0" w:footer="0" w:header="0"/>
        </w:sectPr>
      </w:pPr>
    </w:p>
    <w:bookmarkStart w:id="48" w:name="page49"/>
    <w:bookmarkEnd w:id="48"/>
    <w:p>
      <w:pPr>
        <w:ind w:left="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2.21.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0" w:right="200" w:firstLine="436"/>
        <w:spacing w:after="0" w:line="282" w:lineRule="auto"/>
        <w:tabs>
          <w:tab w:leader="none" w:pos="62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61" w:lineRule="exact"/>
        <w:rPr>
          <w:rFonts w:ascii="Times New Roman" w:cs="Times New Roman" w:eastAsia="Times New Roman" w:hAnsi="Times New Roman"/>
          <w:sz w:val="18"/>
          <w:szCs w:val="18"/>
          <w:color w:val="auto"/>
        </w:rPr>
      </w:pPr>
    </w:p>
    <w:p>
      <w:pPr>
        <w:ind w:left="380" w:right="200" w:firstLine="419"/>
        <w:spacing w:after="0" w:line="282" w:lineRule="auto"/>
        <w:tabs>
          <w:tab w:leader="none" w:pos="101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Waivers and Amendments</w:t>
      </w:r>
      <w:r>
        <w:rPr>
          <w:rFonts w:ascii="Times New Roman" w:cs="Times New Roman" w:eastAsia="Times New Roman" w:hAnsi="Times New Roman"/>
          <w:sz w:val="18"/>
          <w:szCs w:val="18"/>
          <w:color w:val="auto"/>
        </w:rPr>
        <w:t xml:space="preserve">. That Defaulting Lender’s right to approve or disapprove any amendment, waiver or consent with respect to this Agreement shall be restricted as set forth in </w:t>
      </w:r>
      <w:r>
        <w:rPr>
          <w:rFonts w:ascii="Times New Roman" w:cs="Times New Roman" w:eastAsia="Times New Roman" w:hAnsi="Times New Roman"/>
          <w:sz w:val="18"/>
          <w:szCs w:val="18"/>
          <w:u w:val="single" w:color="auto"/>
          <w:color w:val="auto"/>
        </w:rPr>
        <w:t>Section 9.02(b)</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380" w:firstLine="419"/>
        <w:spacing w:after="0" w:line="252" w:lineRule="auto"/>
        <w:tabs>
          <w:tab w:leader="none" w:pos="106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Reallocation of Payments</w:t>
      </w:r>
      <w:r>
        <w:rPr>
          <w:rFonts w:ascii="Times New Roman" w:cs="Times New Roman" w:eastAsia="Times New Roman" w:hAnsi="Times New Roman"/>
          <w:sz w:val="18"/>
          <w:szCs w:val="18"/>
          <w:color w:val="auto"/>
        </w:rPr>
        <w:t xml:space="preserve">. Any payment of principal, interest, fees or other amounts received by the Administrative Agent for the account of that Defaulting Lender (whether voluntary or mandatory, at maturity,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or otherwise, and including any amounts made available to the Administrative Agent by that Defaulting Lender pursuant to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shall be applied at such time or times as may be determined by the Administrative Agent as follows: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payment of any amounts owing by that Defaulting Lender to the Administrative Agent hereunder;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as the Borrower may request (so long as no Default or Event of Default exists), to the funding of any Loan in respect of which that Defaulting Lender has failed to fund its portion thereof as required by this Agreement, as determined by the Administrative Agent;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if so determined by the Administrative Agent and the Borrower, to be held in a non-interest bearing deposit account and released in order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satisfy obligations of that Defaulting Lender to fund Loans under this Agreement;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to the payment of any amounts then owing to the Lenders as a result of any judgment of a court of competent jurisdiction obtained by any Lender against that Defaulting Lender as a result of that Defaulting Lender’s breach of its obligations under this Agreement;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xml:space="preserve">, so long as no Default or Event of Default exists, to the payment of any amounts then owing to the Borrower as a result of any judgment of a court of competent jurisdiction obtained by the Borrower against that Defaulting Lender as a result of that Defaulting Lender’s breach of its obligations under this Agreement; and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xml:space="preserve">, to that Defaulting Lender or as otherwise directed by a court of competent jurisdiction;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(x) such payment is a payment of the principal amount of any Loans in respect of which that Defaulting Lender has not fully funded its appropriate share and (y) such Loans were made at a time when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were satisfied or waived, such payment shall be applied solely to pay the Loans of all Non-Defaulting Lenders on a pro rata basis prior to being applied to the payment of any Loans of that Defaulting Lender. Any payments, prepayments or other amounts paid or payable to a Defaulting Lender that are applied (or held) to pay amounts owed by a Defaulting Lender shall be deemed paid to and redirected by that Defaulting Lender, and each Lender irrevocably consents hereto. Upon making any payment to the Administrative Agent for the account of a Defaulting Lender, the Borrower’s obligation to pay such amount to such Defaulting Lender shall be fully discharged and such Defaulting Lender shall have no recourse to the Borrower for the payment of such amount.</w:t>
      </w:r>
    </w:p>
    <w:p>
      <w:pPr>
        <w:spacing w:after="0" w:line="189" w:lineRule="exact"/>
        <w:rPr>
          <w:rFonts w:ascii="Times New Roman" w:cs="Times New Roman" w:eastAsia="Times New Roman" w:hAnsi="Times New Roman"/>
          <w:sz w:val="18"/>
          <w:szCs w:val="18"/>
          <w:color w:val="auto"/>
        </w:rPr>
      </w:pPr>
    </w:p>
    <w:p>
      <w:pPr>
        <w:jc w:val="both"/>
        <w:ind w:left="380" w:right="20" w:firstLine="419"/>
        <w:spacing w:after="0" w:line="266" w:lineRule="auto"/>
        <w:tabs>
          <w:tab w:leader="none" w:pos="111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That Defaulting Lender shall not be entitled to receive any facility fees with respect to its undrawn Commitment pursuant to Section 2.12(a) for any period during which that Lender is a Defaulting Lender (and the Borrower shall not be required to pay any such fee that otherwise would have been required to have been paid to that Defaulting Lender).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00"/>
          </w:cols>
          <w:pgMar w:left="500" w:top="270" w:right="499" w:bottom="1440" w:gutter="0" w:footer="0" w:header="0"/>
        </w:sectPr>
      </w:pPr>
    </w:p>
    <w:bookmarkStart w:id="49" w:name="page50"/>
    <w:bookmarkEnd w:id="49"/>
    <w:p>
      <w:pPr>
        <w:ind w:firstLine="436"/>
        <w:spacing w:after="0" w:line="254" w:lineRule="auto"/>
        <w:tabs>
          <w:tab w:leader="none" w:pos="69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Defaulting Lender Cure</w:t>
      </w:r>
      <w:r>
        <w:rPr>
          <w:rFonts w:ascii="Times New Roman" w:cs="Times New Roman" w:eastAsia="Times New Roman" w:hAnsi="Times New Roman"/>
          <w:sz w:val="18"/>
          <w:szCs w:val="18"/>
          <w:color w:val="auto"/>
        </w:rPr>
        <w:t>. If the Borrower and the Administrative Agent agree in writing in their sole discretion that a Lender is no longer a Defaulting Lender, the Administrative Agent will so notify the parties hereto, whereupon as of the effective date specified in such notice and subject to any conditions set forth therein, such Lender will, to the extent applicable, purchase at par such portion of outstanding Loans of the other Lenders and/or make such other adjustments as the Administrative Agent may determine to be necessary to cause the Exposure of the Lenders to be on a pro rata basis in accordance with their respective Commitments, whereupon such Lender will cease to be a Defaulting Lender and will be a Non-Defaulting Lender (and such Exposure of each Lender will automatically be adjusted on a prospective basis to reflect the foregoing); provided that no adjustments will be made retroactively with respect to fees accrued or payments made by or on behalf of the Borrower while such Lender was a Defaulting Lender; and provided, further, that except to the extent otherwise expressly agreed by the affected parties, no change hereunder from Defaulting Lender to Non-Defaulting Lender will constitute a waiver or release of any claim of any party hereunder arising from such Lender’s having been a Defaulting Lender.</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jc w:val="both"/>
        <w:ind w:right="100" w:firstLine="436"/>
        <w:spacing w:after="0" w:line="258" w:lineRule="auto"/>
        <w:tabs>
          <w:tab w:leader="none" w:pos="68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Defaulting Lender Commitment</w:t>
      </w:r>
      <w:r>
        <w:rPr>
          <w:rFonts w:ascii="Times New Roman" w:cs="Times New Roman" w:eastAsia="Times New Roman" w:hAnsi="Times New Roman"/>
          <w:sz w:val="18"/>
          <w:szCs w:val="18"/>
          <w:color w:val="auto"/>
        </w:rPr>
        <w:t xml:space="preserve">. The Borrower may terminate the unused amount of the Commitment of a Defaulting Lender upon not less than five (5) Business Days’ prior notice to the Administrative Agent (which will promptly notify the Lenders thereof), and in such event the provisions of </w:t>
      </w:r>
      <w:r>
        <w:rPr>
          <w:rFonts w:ascii="Times New Roman" w:cs="Times New Roman" w:eastAsia="Times New Roman" w:hAnsi="Times New Roman"/>
          <w:sz w:val="18"/>
          <w:szCs w:val="18"/>
          <w:u w:val="single" w:color="auto"/>
          <w:color w:val="auto"/>
        </w:rPr>
        <w:t>Section 2.21(a)(ii)</w:t>
      </w:r>
      <w:r>
        <w:rPr>
          <w:rFonts w:ascii="Times New Roman" w:cs="Times New Roman" w:eastAsia="Times New Roman" w:hAnsi="Times New Roman"/>
          <w:sz w:val="18"/>
          <w:szCs w:val="18"/>
          <w:color w:val="auto"/>
        </w:rPr>
        <w:t xml:space="preserve"> will apply to all amounts thereafter paid by the Borrower for the account of such Defaulting Lender under this Agreement (whether on account of principal, interest, fees, indemnity or other amounts), provided that such termination will not be deemed to be a waiver or release of any claim the Borrower, the Administrative Agent or any Lender may have against such Defaulting Lender.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Borrower represents and warrants to the Lenders that:</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 Powers</w:t>
      </w:r>
      <w:r>
        <w:rPr>
          <w:rFonts w:ascii="Times New Roman" w:cs="Times New Roman" w:eastAsia="Times New Roman" w:hAnsi="Times New Roman"/>
          <w:sz w:val="18"/>
          <w:szCs w:val="18"/>
          <w:color w:val="auto"/>
        </w:rPr>
        <w:t>. Each of the Borrower and its Subsidiaries is duly formed, validly existing and (if applicable) in good standing (except, with respect to Subsidiaries other than Material Subsidiaries, where the failure to be in good standing, individually or in the aggregate, could not reasonably be expected to result in a Material Adverse Effect) under the laws of the jurisdiction of its organization, has all requisite power and authority to carry on its business in all material respects as now conducted and, except where the failure to do so, individually or in the aggregate, could not reasonably be expected to result in a Material Adverse Effect, is qualified to do business in, and (if applicable) is in good standing in, every jurisdiction where such qualification is required.</w:t>
      </w:r>
    </w:p>
    <w:p>
      <w:pPr>
        <w:spacing w:after="0" w:line="18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Authorization; Enforceability</w:t>
      </w:r>
      <w:r>
        <w:rPr>
          <w:rFonts w:ascii="Times New Roman" w:cs="Times New Roman" w:eastAsia="Times New Roman" w:hAnsi="Times New Roman"/>
          <w:sz w:val="18"/>
          <w:szCs w:val="18"/>
          <w:color w:val="auto"/>
        </w:rPr>
        <w:t>. The Transactions are within the Borrower’s limited liability company powers and have been duly authorized by all necessary limited liability company and, if required, member action. This Agreement has been duly executed and delivered by the Borrower and constitutes a legal, valid and binding obligation of the Borrower, enforceable against the Borrower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80"/>
          </w:cols>
          <w:pgMar w:left="440" w:top="270" w:right="479" w:bottom="1440" w:gutter="0" w:footer="0" w:header="0"/>
        </w:sectPr>
      </w:pPr>
    </w:p>
    <w:bookmarkStart w:id="50" w:name="page51"/>
    <w:bookmarkEnd w:id="50"/>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3.03. </w:t>
      </w:r>
      <w:r>
        <w:rPr>
          <w:rFonts w:ascii="Times New Roman" w:cs="Times New Roman" w:eastAsia="Times New Roman" w:hAnsi="Times New Roman"/>
          <w:sz w:val="18"/>
          <w:szCs w:val="18"/>
          <w:u w:val="single" w:color="auto"/>
          <w:color w:val="auto"/>
        </w:rPr>
        <w:t>Governmental Approvals; No Conflicts</w:t>
      </w:r>
      <w:r>
        <w:rPr>
          <w:rFonts w:ascii="Times New Roman" w:cs="Times New Roman" w:eastAsia="Times New Roman" w:hAnsi="Times New Roman"/>
          <w:sz w:val="18"/>
          <w:szCs w:val="18"/>
          <w:color w:val="auto"/>
        </w:rPr>
        <w:t>. The Transactions (a) do not require any consent or approval of, registration or filing with, or any other action by, any Governmental Authority, except such as have been obtained or made and are in full force and effect as of the Effective Date, other than filings after the Effective Date in the ordinary course of business, (b) will not violate any law or regulation applicable to the Borrower or the limited liability company agreement, charter, by-laws or other organizational documents of the Borrower or any of its Subsidiaries or any order of any Governmental Authority to which the Borrower or any of its Subsidiaries is subject, (c) will not violate or result in a default under any material indenture, agreement or other instrument binding upon the Borrower or any of its Subsidiaries or its assets, or (except for the Existing Credit Facility) give rise to a right thereunder to require any payment to be made by the Borrower or any of its Subsidiaries and (d) will not result in the creation or imposition of any Lien on any asset of the Borrower or any of its Subsidiaries that is prohibited hereby.</w:t>
      </w:r>
    </w:p>
    <w:p>
      <w:pPr>
        <w:spacing w:after="0" w:line="19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Financial Condition</w:t>
      </w:r>
      <w:r>
        <w:rPr>
          <w:rFonts w:ascii="Times New Roman" w:cs="Times New Roman" w:eastAsia="Times New Roman" w:hAnsi="Times New Roman"/>
          <w:sz w:val="18"/>
          <w:szCs w:val="18"/>
          <w:color w:val="auto"/>
        </w:rPr>
        <w:t>. The Borrower has heretofore furnished to the Lenders the consolidated balance sheets of the Borrower and its consolidated Subsidiaries and the related consolidated statements of income, equity and cash flow of the Borrower and its consolidated Subsidiaries as of and for the fiscal year ended December 31, 2025, such consolidated financial statements audited by an independent accounting firm of national standing. Such financial statements present fairly, in all material respects, the financial position and results of operations and cash flows of the Borrower and its consolidated Subsidiaries as of such dates and for such periods in accordance with GAAP.</w:t>
      </w:r>
    </w:p>
    <w:p>
      <w:pPr>
        <w:spacing w:after="0" w:line="183"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Litigation and Environmental Matters</w:t>
      </w:r>
      <w:r>
        <w:rPr>
          <w:rFonts w:ascii="Times New Roman" w:cs="Times New Roman" w:eastAsia="Times New Roman" w:hAnsi="Times New Roman"/>
          <w:sz w:val="18"/>
          <w:szCs w:val="18"/>
          <w:color w:val="auto"/>
        </w:rPr>
        <w:t>. (a) There are no actions, suits or proceedings by or before any arbitrator or Governmental Authority pending against or, to the knowledge of the Borrower, threatened in writing against or affecting the Borrower or any of its Subsidiaries (i) as to which there is a reasonable possibility of an adverse determination and that, if adversely determined, could reasonably be expected, individually or in the aggregate, to result in a Material Adverse Effect (other than the Disclosed Matters) or (ii) that involve this Agreement or the Transactions.</w:t>
      </w:r>
    </w:p>
    <w:p>
      <w:pPr>
        <w:spacing w:after="0" w:line="180" w:lineRule="exact"/>
        <w:rPr>
          <w:sz w:val="20"/>
          <w:szCs w:val="20"/>
          <w:color w:val="auto"/>
        </w:rPr>
      </w:pPr>
    </w:p>
    <w:p>
      <w:pPr>
        <w:ind w:right="20" w:firstLine="436"/>
        <w:spacing w:after="0" w:line="258" w:lineRule="auto"/>
        <w:tabs>
          <w:tab w:leader="none" w:pos="6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Disclosed Matters and except with respect to any other matters that, individually or in the aggregate, could not reasonably be expected to result in a Material Adverse Effect, neither the Borrower nor any of its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w:t>
      </w:r>
    </w:p>
    <w:p>
      <w:pPr>
        <w:spacing w:after="0" w:line="183" w:lineRule="exact"/>
        <w:rPr>
          <w:rFonts w:ascii="Times New Roman" w:cs="Times New Roman" w:eastAsia="Times New Roman" w:hAnsi="Times New Roman"/>
          <w:sz w:val="18"/>
          <w:szCs w:val="18"/>
          <w:color w:val="auto"/>
        </w:rPr>
      </w:pPr>
    </w:p>
    <w:p>
      <w:pPr>
        <w:ind w:right="320" w:firstLine="436"/>
        <w:spacing w:after="0" w:line="282" w:lineRule="auto"/>
        <w:tabs>
          <w:tab w:leader="none" w:pos="68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this Agreement, there has been no change in the status of the Disclosed Matters that, individually or in the aggregate, has resulted in a Material Adverse Effect.</w:t>
      </w:r>
    </w:p>
    <w:p>
      <w:pPr>
        <w:spacing w:after="0" w:line="162"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Each of the Borrower and its Subsidiaries is in compliance with all laws, regulations and orders of any Governmental Authority applicable to it or its property, except where the failure to do so, individually or in the aggregate, could not reasonably be expected to result in a Material Adverse Effect. No Default has occurred and is continuing.</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60"/>
          </w:cols>
          <w:pgMar w:left="440" w:top="270" w:right="499" w:bottom="1440" w:gutter="0" w:footer="0" w:header="0"/>
        </w:sectPr>
      </w:pPr>
    </w:p>
    <w:bookmarkStart w:id="51" w:name="page52"/>
    <w:bookmarkEnd w:id="51"/>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3.07. </w:t>
      </w: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 Neither the Borrower nor any of its Subsidiaries is an “investment company” as defined in, or subject to regulation under, the Investment Company Act of 1940.</w:t>
      </w:r>
    </w:p>
    <w:p>
      <w:pPr>
        <w:spacing w:after="0" w:line="16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Each of the Borrower and its Subsidiaries has timely filed or caused to be filed all Tax returns and reports required to have been filed and has paid or caused to be paid all Taxes required to have been paid by it, except (a) Taxes that are being contested in good faith by appropriate proceedings and for which the Borrower or such Subsidiary, as applicable, has set aside on its books adequate reserves or (b) to the extent that the failure to do so could not reasonably be expected to result in a Material Adverse Effect.</w:t>
      </w:r>
    </w:p>
    <w:p>
      <w:pPr>
        <w:spacing w:after="0" w:line="180"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No ERISA Event has occurred or is reasonably expected to occur that, when taken together with all other such ERISA Events for which liability is reasonably expected to occur, could reasonably be expected to result in a Material Adverse Effect.</w:t>
      </w:r>
    </w:p>
    <w:p>
      <w:pPr>
        <w:spacing w:after="0" w:line="162"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Neither the Information Memorandum nor any of the other reports, financial statements, certificates or other information furnished by or on behalf of the Borrower to the Administrative Agent or any Lender in connection with the negotiation of this Agreement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with respect to projected financial information, the Borrower represents only that such information was prepared in good faith based upon assumptions believed to be reasonable at the time. As of the Effective Date, Borrower hereby certifies that the Borrower qualifies for an express exclusion to the “legal entity customer” definition under the Beneficial Ownership Regulation.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440"/>
        <w:spacing w:after="0" w:line="281" w:lineRule="auto"/>
        <w:rPr>
          <w:sz w:val="20"/>
          <w:szCs w:val="20"/>
          <w:color w:val="auto"/>
        </w:rPr>
      </w:pPr>
      <w:r>
        <w:rPr>
          <w:rFonts w:ascii="Times New Roman" w:cs="Times New Roman" w:eastAsia="Times New Roman" w:hAnsi="Times New Roman"/>
          <w:sz w:val="17"/>
          <w:szCs w:val="17"/>
          <w:color w:val="auto"/>
        </w:rPr>
        <w:t xml:space="preserve">SECTION 3.12. </w:t>
      </w:r>
      <w:r>
        <w:rPr>
          <w:rFonts w:ascii="Times New Roman" w:cs="Times New Roman" w:eastAsia="Times New Roman" w:hAnsi="Times New Roman"/>
          <w:sz w:val="17"/>
          <w:szCs w:val="17"/>
          <w:u w:val="single" w:color="auto"/>
          <w:color w:val="auto"/>
        </w:rPr>
        <w:t>Margin Securities</w:t>
      </w:r>
      <w:r>
        <w:rPr>
          <w:rFonts w:ascii="Times New Roman" w:cs="Times New Roman" w:eastAsia="Times New Roman" w:hAnsi="Times New Roman"/>
          <w:sz w:val="17"/>
          <w:szCs w:val="17"/>
          <w:color w:val="auto"/>
        </w:rPr>
        <w:t>. Neither the Borrower nor any Subsidiary is engaged principally, or as one of its important activities, in the business of extending credit for the purpose of purchasing or carrying margin stock (within the meaning of Regulations U or X of the Board of Governors of the Federal Reserve System), and no part of the proceeds of any Loan will be used to purchase or carry any margin stock in violation of said Regulations U or X or to extend credit to others for the purpose of purchasing or carrying margin stock in violation of said Regulations U or X.</w:t>
      </w:r>
    </w:p>
    <w:p>
      <w:pPr>
        <w:spacing w:after="0" w:line="164"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 xml:space="preserve">SECTION 3.13. </w:t>
      </w:r>
      <w:r>
        <w:rPr>
          <w:rFonts w:ascii="Times New Roman" w:cs="Times New Roman" w:eastAsia="Times New Roman" w:hAnsi="Times New Roman"/>
          <w:sz w:val="17"/>
          <w:szCs w:val="17"/>
          <w:u w:val="single" w:color="auto"/>
          <w:color w:val="auto"/>
        </w:rPr>
        <w:t>Anti-Corruption Laws; Sanctions Laws and Regulations</w:t>
      </w:r>
      <w:r>
        <w:rPr>
          <w:rFonts w:ascii="Times New Roman" w:cs="Times New Roman" w:eastAsia="Times New Roman" w:hAnsi="Times New Roman"/>
          <w:sz w:val="17"/>
          <w:szCs w:val="17"/>
          <w:color w:val="auto"/>
        </w:rPr>
        <w:t>. The Borrower and its Subsidiaries have instituted and maintain policies and procedures designed to ensure, and which are reasonably expected to continue to ensure, continued compliance with Anti-Corruption Laws and applicable Sanctions Laws and Regulations. The Borrower and its Subsidiaries and, to the knowledge of the Borrower and its Subsidiaries, their respective officers, employees, directors and agents, are in compliance with Anti-Corruption Laws and applicable Sanctions Laws and Regulations in all respects (for the avoidance of doubt, this representation shall not fail to be true and correct due to any failure or failures to comply with Anti-Corruption</w:t>
      </w:r>
    </w:p>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80"/>
          </w:cols>
          <w:pgMar w:left="440" w:top="270" w:right="479" w:bottom="1440" w:gutter="0" w:footer="0" w:header="0"/>
        </w:sectPr>
      </w:pPr>
    </w:p>
    <w:bookmarkStart w:id="52" w:name="page53"/>
    <w:bookmarkEnd w:id="52"/>
    <w:p>
      <w:pPr>
        <w:ind w:left="4"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Laws (i) that are isolated and do not evidence a pervasive or systemic pattern of violations of such laws and regulations or a significant deficiency in the implementation of the aforesaid policies and procedures to ensure compliance by the Borrower and its Subsidiaries with Anti-Corruption Laws or</w:t>
      </w:r>
    </w:p>
    <w:p>
      <w:pPr>
        <w:ind w:left="4" w:hanging="4"/>
        <w:spacing w:after="0" w:line="252" w:lineRule="auto"/>
        <w:tabs>
          <w:tab w:leader="none" w:pos="26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arise from actions or incidents that have been publicly disclosed by the Borrower or disclosed in writing to the Administrative Agent (with a copy to Lenders), in each case, at least twenty (20) days prior to the Effective Date). Neither the Borrower nor any of its Subsidiaries, or to their knowledge any of their directors or officers, or any of their respective agents acting or benefiting in any capacity in connection with this Agreement, is a Designated Person or is knowingly engaged in any activity that could reasonably be expected to result in such Person becoming a Designated Person. No Loan, use of proceeds or other transaction contemplated by this Agreement will result in a violation of Anti-Corruption Laws or applicable Sanctions Laws and Regulations by the Borrower or any of its Subsidiaries.</w:t>
      </w:r>
    </w:p>
    <w:p>
      <w:pPr>
        <w:spacing w:after="0" w:line="200" w:lineRule="exact"/>
        <w:rPr>
          <w:sz w:val="20"/>
          <w:szCs w:val="20"/>
          <w:color w:val="auto"/>
        </w:rPr>
      </w:pPr>
    </w:p>
    <w:p>
      <w:pPr>
        <w:spacing w:after="0" w:line="20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Conditions</w:t>
      </w:r>
    </w:p>
    <w:p>
      <w:pPr>
        <w:spacing w:after="0" w:line="225"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 obligations of the Lenders to make Loans hereunder shall not become effective until the Effective Date which is scheduled to occur when each of the following conditions is satisfied:</w:t>
      </w:r>
    </w:p>
    <w:p>
      <w:pPr>
        <w:spacing w:after="0" w:line="162" w:lineRule="exact"/>
        <w:rPr>
          <w:sz w:val="20"/>
          <w:szCs w:val="20"/>
          <w:color w:val="auto"/>
        </w:rPr>
      </w:pPr>
    </w:p>
    <w:p>
      <w:pPr>
        <w:ind w:left="4" w:right="320" w:firstLine="436"/>
        <w:spacing w:after="0" w:line="266" w:lineRule="auto"/>
        <w:tabs>
          <w:tab w:leader="none" w:pos="68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(or its counsel) shall have received from each party hereto either (i) a counterpart of this Agreement signed on behalf of such party or (ii) written evidence satisfactory to the Administrative Agent (which may include telecopy transmission of a signed signature page of this Agreement) that such party has signed a counterpart of this Agreement.</w:t>
      </w:r>
    </w:p>
    <w:p>
      <w:pPr>
        <w:spacing w:after="0" w:line="175" w:lineRule="exact"/>
        <w:rPr>
          <w:rFonts w:ascii="Times New Roman" w:cs="Times New Roman" w:eastAsia="Times New Roman" w:hAnsi="Times New Roman"/>
          <w:sz w:val="18"/>
          <w:szCs w:val="18"/>
          <w:color w:val="auto"/>
        </w:rPr>
      </w:pPr>
    </w:p>
    <w:p>
      <w:pPr>
        <w:ind w:left="4" w:right="60" w:firstLine="436"/>
        <w:spacing w:after="0" w:line="266" w:lineRule="auto"/>
        <w:tabs>
          <w:tab w:leader="none" w:pos="69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have received favorable written opinions (addressed to the Administrative Agent and the Lenders and dated the Effective Date) of Christopher S. Wade, in-house counsel for Borrower and EPD and Willkie Farr &amp; Gallagher LLP, counsel for Borrower and EPD, substantially in the forms of </w:t>
      </w:r>
      <w:r>
        <w:rPr>
          <w:rFonts w:ascii="Times New Roman" w:cs="Times New Roman" w:eastAsia="Times New Roman" w:hAnsi="Times New Roman"/>
          <w:sz w:val="18"/>
          <w:szCs w:val="18"/>
          <w:u w:val="single" w:color="auto"/>
          <w:color w:val="auto"/>
        </w:rPr>
        <w:t>Exhibits D-1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D-2</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4" w:right="380" w:firstLine="436"/>
        <w:spacing w:after="0" w:line="261" w:lineRule="auto"/>
        <w:tabs>
          <w:tab w:leader="none" w:pos="68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such documents and certificates as the Administrative Agent or its counsel may reasonably request relating to (1) the organization and existence of the Borrower and EPD, (2) the authorization of the Transactions and any other legal matters relating to the Borrower, this Agreement or the Transactions, all in form and substance reasonably satisfactory to the Administrative Agent and its counsel, and (3) with respect to EPD, the authorization of the EPD Guaranty Agreement and any other legal matters relating to EPD.</w:t>
      </w:r>
    </w:p>
    <w:p>
      <w:pPr>
        <w:spacing w:after="0" w:line="179"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the EPD Guaranty Agreement dated as of the date hereof, duly and validly executed by EPD.</w:t>
      </w:r>
    </w:p>
    <w:p>
      <w:pPr>
        <w:spacing w:after="0" w:line="225" w:lineRule="exact"/>
        <w:rPr>
          <w:rFonts w:ascii="Times New Roman" w:cs="Times New Roman" w:eastAsia="Times New Roman" w:hAnsi="Times New Roman"/>
          <w:sz w:val="18"/>
          <w:szCs w:val="18"/>
          <w:color w:val="auto"/>
        </w:rPr>
      </w:pPr>
    </w:p>
    <w:p>
      <w:pPr>
        <w:ind w:left="4" w:right="220" w:firstLine="436"/>
        <w:spacing w:after="0" w:line="282" w:lineRule="auto"/>
        <w:tabs>
          <w:tab w:leader="none" w:pos="68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have received each promissory note requested by a Lender pursuant to </w:t>
      </w:r>
      <w:r>
        <w:rPr>
          <w:rFonts w:ascii="Times New Roman" w:cs="Times New Roman" w:eastAsia="Times New Roman" w:hAnsi="Times New Roman"/>
          <w:sz w:val="18"/>
          <w:szCs w:val="18"/>
          <w:u w:val="single" w:color="auto"/>
          <w:color w:val="auto"/>
        </w:rPr>
        <w:t>Section 2.10(e)</w:t>
      </w:r>
      <w:r>
        <w:rPr>
          <w:rFonts w:ascii="Times New Roman" w:cs="Times New Roman" w:eastAsia="Times New Roman" w:hAnsi="Times New Roman"/>
          <w:sz w:val="18"/>
          <w:szCs w:val="18"/>
          <w:color w:val="auto"/>
        </w:rPr>
        <w:t>, each duly completed and executed by the Borrower.</w:t>
      </w:r>
    </w:p>
    <w:p>
      <w:pPr>
        <w:spacing w:after="0" w:line="161" w:lineRule="exact"/>
        <w:rPr>
          <w:rFonts w:ascii="Times New Roman" w:cs="Times New Roman" w:eastAsia="Times New Roman" w:hAnsi="Times New Roman"/>
          <w:sz w:val="18"/>
          <w:szCs w:val="18"/>
          <w:color w:val="auto"/>
        </w:rPr>
      </w:pPr>
    </w:p>
    <w:p>
      <w:pPr>
        <w:ind w:left="4" w:right="180" w:firstLine="436"/>
        <w:spacing w:after="0" w:line="282" w:lineRule="auto"/>
        <w:tabs>
          <w:tab w:leader="none" w:pos="66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have received a certificate, dated the Effective Date and signed by the President, an Executive Vice President or a Financial Officer, confirming compliance with the conditions set forth in </w:t>
      </w:r>
      <w:r>
        <w:rPr>
          <w:rFonts w:ascii="Times New Roman" w:cs="Times New Roman" w:eastAsia="Times New Roman" w:hAnsi="Times New Roman"/>
          <w:sz w:val="18"/>
          <w:szCs w:val="18"/>
          <w:u w:val="single" w:color="auto"/>
          <w:color w:val="auto"/>
        </w:rPr>
        <w:t>Section 4.01(h)</w:t>
      </w:r>
      <w:r>
        <w:rPr>
          <w:rFonts w:ascii="Times New Roman" w:cs="Times New Roman" w:eastAsia="Times New Roman" w:hAnsi="Times New Roman"/>
          <w:sz w:val="18"/>
          <w:szCs w:val="18"/>
          <w:color w:val="auto"/>
        </w:rPr>
        <w:t xml:space="preserve"> and paragraphs (a) and (b) of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4"/>
          </w:cols>
          <w:pgMar w:left="436" w:top="270" w:right="459" w:bottom="1440" w:gutter="0" w:footer="0" w:header="0"/>
        </w:sectPr>
      </w:pPr>
    </w:p>
    <w:bookmarkStart w:id="53" w:name="page54"/>
    <w:bookmarkEnd w:id="53"/>
    <w:p>
      <w:pPr>
        <w:ind w:right="320" w:firstLine="436"/>
        <w:spacing w:after="0" w:line="266" w:lineRule="auto"/>
        <w:tabs>
          <w:tab w:leader="none" w:pos="6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 and the Arrangers shall have received all fees and other amounts due and payable to or on behalf of the Administrative Agent, any Arranger or any Lender on or prior to the Effective Date, including, to the extent invoiced five (5) Business Days prior to closing, reimbursement or payment of all out-of-pocket expenses required to be reimbursed or paid by the Borrower hereunder.</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no Material Adverse Change exists.</w:t>
      </w:r>
    </w:p>
    <w:p>
      <w:pPr>
        <w:spacing w:after="0" w:line="225" w:lineRule="exact"/>
        <w:rPr>
          <w:rFonts w:ascii="Times New Roman" w:cs="Times New Roman" w:eastAsia="Times New Roman" w:hAnsi="Times New Roman"/>
          <w:sz w:val="18"/>
          <w:szCs w:val="18"/>
          <w:color w:val="auto"/>
        </w:rPr>
      </w:pPr>
    </w:p>
    <w:p>
      <w:pPr>
        <w:ind w:right="1000" w:firstLine="436"/>
        <w:spacing w:after="0" w:line="282"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shall have received (i) the audited financial statements for the Borrower and its Subsidiaries for the fiscal year ended December 31, 2025, and (ii) EPD’s Form 10-K for such fiscal year.</w:t>
      </w:r>
    </w:p>
    <w:p>
      <w:pPr>
        <w:spacing w:after="0" w:line="161" w:lineRule="exact"/>
        <w:rPr>
          <w:rFonts w:ascii="Times New Roman" w:cs="Times New Roman" w:eastAsia="Times New Roman" w:hAnsi="Times New Roman"/>
          <w:sz w:val="18"/>
          <w:szCs w:val="18"/>
          <w:color w:val="auto"/>
        </w:rPr>
      </w:pPr>
    </w:p>
    <w:p>
      <w:pPr>
        <w:ind w:right="100" w:firstLine="436"/>
        <w:spacing w:after="0" w:line="266"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necessary governmental and third-party approvals, if any, required to be obtained by the Borrower in connection with the Transactions and otherwise referred to herein shall have been obtained and remain in effect (except where failure to obtain such approvals will not have a Material Adverse Effect), and all applicable waiting periods shall have expired without any action being taken by any applicable authority.</w:t>
      </w:r>
    </w:p>
    <w:p>
      <w:pPr>
        <w:spacing w:after="0" w:line="175" w:lineRule="exact"/>
        <w:rPr>
          <w:rFonts w:ascii="Times New Roman" w:cs="Times New Roman" w:eastAsia="Times New Roman" w:hAnsi="Times New Roman"/>
          <w:sz w:val="18"/>
          <w:szCs w:val="18"/>
          <w:color w:val="auto"/>
        </w:rPr>
      </w:pPr>
    </w:p>
    <w:p>
      <w:pPr>
        <w:ind w:right="260" w:firstLine="436"/>
        <w:spacing w:after="0" w:line="282" w:lineRule="auto"/>
        <w:tabs>
          <w:tab w:leader="none" w:pos="6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and indebtedness under the Existing Credit Facility shall be contemporaneously refinanced pursuant hereto and the Existing Credit Facility shall have been terminated and replaced hereby.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Administrative Agent shall notify the Borrower and the Lenders of the Effective Date, and such notice shall be conclusive and binding.</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Each Credit Event</w:t>
      </w:r>
      <w:r>
        <w:rPr>
          <w:rFonts w:ascii="Times New Roman" w:cs="Times New Roman" w:eastAsia="Times New Roman" w:hAnsi="Times New Roman"/>
          <w:sz w:val="18"/>
          <w:szCs w:val="18"/>
          <w:color w:val="auto"/>
        </w:rPr>
        <w:t>. The obligation of each Lender to make a Loan on the occasion of any Borrowing (exclusive of continuations and conversions of a Borrowing) is subject to the satisfaction of the following conditions:</w:t>
      </w:r>
    </w:p>
    <w:p>
      <w:pPr>
        <w:spacing w:after="0" w:line="162" w:lineRule="exact"/>
        <w:rPr>
          <w:sz w:val="20"/>
          <w:szCs w:val="20"/>
          <w:color w:val="auto"/>
        </w:rPr>
      </w:pPr>
    </w:p>
    <w:p>
      <w:pPr>
        <w:ind w:firstLine="436"/>
        <w:spacing w:after="0" w:line="261" w:lineRule="auto"/>
        <w:tabs>
          <w:tab w:leader="none" w:pos="68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Borrower set forth in this Agreement shall be true and correct in all material respects (except that any representation and warranty that is qualified by materiality shall be true and correct in all respects) on and as of the date of such Borrowing, except to the extent that such representations and warranties specifically refer to an earlier date, in which case they were true and correct in all material respects as of such earlier date.</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and immediately after giving effect to such Borrowing, no Default shall have occurred and be continuing.</w:t>
      </w:r>
    </w:p>
    <w:p>
      <w:pPr>
        <w:spacing w:after="0" w:line="225"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Each Borrowing shall be deemed to constitute a representation and warranty by the Borrower on the date thereof as to the matters specified in paragraphs (a) and (b) of this Section.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Affirmative Covenants</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Until the Commitments have expired or been terminated and the principal of and interest on each Loan and all fees payable hereunder shall have been paid in full, the Borrower covenants and agrees with the Lenders that: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70" w:right="459" w:bottom="1440" w:gutter="0" w:footer="0" w:header="0"/>
        </w:sectPr>
      </w:pPr>
    </w:p>
    <w:bookmarkStart w:id="54" w:name="page55"/>
    <w:bookmarkEnd w:id="54"/>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5.01. </w:t>
      </w:r>
      <w:r>
        <w:rPr>
          <w:rFonts w:ascii="Times New Roman" w:cs="Times New Roman" w:eastAsia="Times New Roman" w:hAnsi="Times New Roman"/>
          <w:sz w:val="18"/>
          <w:szCs w:val="18"/>
          <w:u w:val="single" w:color="auto"/>
          <w:color w:val="auto"/>
        </w:rPr>
        <w:t>Financial Statements and Other Information</w:t>
      </w:r>
      <w:r>
        <w:rPr>
          <w:rFonts w:ascii="Times New Roman" w:cs="Times New Roman" w:eastAsia="Times New Roman" w:hAnsi="Times New Roman"/>
          <w:sz w:val="18"/>
          <w:szCs w:val="18"/>
          <w:color w:val="auto"/>
        </w:rPr>
        <w:t>. The Borrower will furnish, or cause to be furnished, to the Administrative Agent and each Lender:</w:t>
      </w:r>
    </w:p>
    <w:p>
      <w:pPr>
        <w:spacing w:after="0" w:line="162" w:lineRule="exact"/>
        <w:rPr>
          <w:sz w:val="20"/>
          <w:szCs w:val="20"/>
          <w:color w:val="auto"/>
        </w:rPr>
      </w:pPr>
    </w:p>
    <w:p>
      <w:pPr>
        <w:ind w:left="4" w:firstLine="436"/>
        <w:spacing w:after="0" w:line="266" w:lineRule="auto"/>
        <w:tabs>
          <w:tab w:leader="none" w:pos="689"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15 days after filing same with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copies of each annual report on Form 10-K, quarterly report on Form 10-Q and report on Form 8-K (or any successor or substitute forms) that EPD is required to file with the SEC pursuant to Section 13 or 15(d) of the Securities Exchange Act of 1934, as amended, and any successor statute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4" w:right="40" w:firstLine="436"/>
        <w:spacing w:after="0" w:line="312" w:lineRule="auto"/>
        <w:tabs>
          <w:tab w:leader="none" w:pos="699"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15 days after filing same with the SEC, copies of each annual report on Form 10-K, quarterly report on Form 10-Q and report on Form 8-K (or any successor or substitute forms) that the Borrower is required to file with the SEC pursuant to Section 13 or 15(d) of the Exchange Act;</w:t>
      </w:r>
    </w:p>
    <w:p>
      <w:pPr>
        <w:spacing w:after="0" w:line="139" w:lineRule="exact"/>
        <w:rPr>
          <w:rFonts w:ascii="Times New Roman" w:cs="Times New Roman" w:eastAsia="Times New Roman" w:hAnsi="Times New Roman"/>
          <w:sz w:val="17"/>
          <w:szCs w:val="17"/>
          <w:color w:val="auto"/>
        </w:rPr>
      </w:pPr>
    </w:p>
    <w:p>
      <w:pPr>
        <w:ind w:left="4" w:right="20" w:firstLine="436"/>
        <w:spacing w:after="0" w:line="276" w:lineRule="auto"/>
        <w:tabs>
          <w:tab w:leader="none" w:pos="689"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Borrower is not subject to the requirements of Section 13 or 15(d) of the Exchange Act and EPD owns direct subsidiaries (other than the Borrower and its Subsidiaries), promptly after becoming available and in any event within 105 days after the close of each fiscal year of the Borrower</w:t>
      </w:r>
    </w:p>
    <w:p>
      <w:pPr>
        <w:ind w:left="4" w:right="80" w:hanging="4"/>
        <w:spacing w:after="0" w:line="253" w:lineRule="auto"/>
        <w:tabs>
          <w:tab w:leader="none" w:pos="21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consolidated balance sheets of the Borrower and its consolidated Subsidiaries as at the end of such year and (ii) the audited consolidated statements of income, equity and cash flow of the Borrower and its consolidated Subsidiaries for such year setting forth in each case in comparative form the corresponding figures for the preceding fiscal year, which report shall be to the effect that such statements have been prepared in accordance with GAAP;</w:t>
      </w:r>
    </w:p>
    <w:p>
      <w:pPr>
        <w:spacing w:after="0" w:line="188" w:lineRule="exact"/>
        <w:rPr>
          <w:rFonts w:ascii="Times New Roman" w:cs="Times New Roman" w:eastAsia="Times New Roman" w:hAnsi="Times New Roman"/>
          <w:sz w:val="18"/>
          <w:szCs w:val="18"/>
          <w:color w:val="auto"/>
        </w:rPr>
      </w:pPr>
    </w:p>
    <w:p>
      <w:pPr>
        <w:ind w:left="4" w:right="40" w:firstLine="436"/>
        <w:spacing w:after="0" w:line="255" w:lineRule="auto"/>
        <w:tabs>
          <w:tab w:leader="none" w:pos="699"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is not subject to Section 13 or 15(d) of the Exchange Act and EPD owns direct subsidiaries (other than the Borrower and its Subsidiaries), promptly after their becoming available and in any event within 60 days after the close of each of the first three fiscal quarters of each fiscal year of the Borrower, (i) the unaudited consolidated balance sheets of the Borrower and its consolidated Subsidiaries as at the end of such quarter and (ii) the unaudited consolidated statements of income, equity and cash flow of the Borrower for such quarter, setting forth in each case in comparative form the corresponding figures for the preceding fiscal year, all of the foregoing certified by a Financial Officer to have been prepared in accordance with GAAP subject to normal changes resulting from year-end adjustment and accompanied by a written discussion of the financial performance and operating results, including the major assets, of the Borrower for such quarter; and</w:t>
      </w:r>
    </w:p>
    <w:p>
      <w:pPr>
        <w:spacing w:after="0" w:line="188" w:lineRule="exact"/>
        <w:rPr>
          <w:rFonts w:ascii="Times New Roman" w:cs="Times New Roman" w:eastAsia="Times New Roman" w:hAnsi="Times New Roman"/>
          <w:sz w:val="18"/>
          <w:szCs w:val="18"/>
          <w:color w:val="auto"/>
        </w:rPr>
      </w:pPr>
    </w:p>
    <w:p>
      <w:pPr>
        <w:ind w:left="4" w:right="220" w:firstLine="436"/>
        <w:spacing w:after="0" w:line="261" w:lineRule="auto"/>
        <w:tabs>
          <w:tab w:leader="none" w:pos="689"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60 days after the end of each fiscal quarter of each fiscal year of the Borrower, a certificate of a Financial Officer substantially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(i) certifying as to whether a Default has occurred that is then continuing and, if a Default has occurred that is then continuing, specifying the details thereof and any action taken or proposed to be taken with respect thereto, and (ii) setting forth in reasonable detail calculations demonstrating compliance with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Notices of Material Events</w:t>
      </w:r>
      <w:r>
        <w:rPr>
          <w:rFonts w:ascii="Times New Roman" w:cs="Times New Roman" w:eastAsia="Times New Roman" w:hAnsi="Times New Roman"/>
          <w:sz w:val="18"/>
          <w:szCs w:val="18"/>
          <w:color w:val="auto"/>
        </w:rPr>
        <w:t>. The Borrower will furnish to the Administrative Agent and each Lender prompt written notice of the following:</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 the occurrence of any Event of Default; and</w:t>
      </w:r>
    </w:p>
    <w:p>
      <w:pPr>
        <w:spacing w:after="0" w:line="15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44"/>
          </w:cols>
          <w:pgMar w:left="436" w:top="270" w:right="519" w:bottom="1440" w:gutter="0" w:footer="0" w:header="0"/>
        </w:sectPr>
      </w:pPr>
    </w:p>
    <w:bookmarkStart w:id="55" w:name="page56"/>
    <w:bookmarkEnd w:id="5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any other development that results in, or could reasonably be expected to result in, a Material Adverse Effect.</w:t>
      </w:r>
    </w:p>
    <w:p>
      <w:pPr>
        <w:spacing w:after="0" w:line="225"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Each notice delivered under this Section shall be accompanied by a statement of a Financial Officer or other executive officer of the Borrower or the Manager on behalf of the Borrower setting forth the details of the event or development requiring such notice and any action taken or proposed to be taken with respect thereto.</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Existence; Conduct of Business</w:t>
      </w:r>
      <w:r>
        <w:rPr>
          <w:rFonts w:ascii="Times New Roman" w:cs="Times New Roman" w:eastAsia="Times New Roman" w:hAnsi="Times New Roman"/>
          <w:sz w:val="18"/>
          <w:szCs w:val="18"/>
          <w:color w:val="auto"/>
        </w:rPr>
        <w:t xml:space="preserve">. The Borrower will do or cause to be done all things necessary to preserve, renew and keep in full force and effect its legal existence and the rights, licenses, permits, privileges and franchises material to the conduct of its business;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foregoing shall not prohibit any merger, amalgamation, consolidation, liquidation or dissolution not prohibited under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Maintenance of Properties; Insurance</w:t>
      </w:r>
      <w:r>
        <w:rPr>
          <w:rFonts w:ascii="Times New Roman" w:cs="Times New Roman" w:eastAsia="Times New Roman" w:hAnsi="Times New Roman"/>
          <w:sz w:val="18"/>
          <w:szCs w:val="18"/>
          <w:color w:val="auto"/>
        </w:rPr>
        <w:t>. The Borrower will, and will cause each of its Subsidiaries to, (a) keep and maintain all property material to the conduct of its business in good working order and condition, ordinary wear and tear excepted, and (b) maintain, with financially sound and reputable insurance companies, insurance in such amounts and against such risks as are customarily maintained by companies engaged in the same or similar businesses operating in the same or similar locations.</w:t>
      </w:r>
    </w:p>
    <w:p>
      <w:pPr>
        <w:spacing w:after="0" w:line="180"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Books and Records; Inspection Rights</w:t>
      </w:r>
      <w:r>
        <w:rPr>
          <w:rFonts w:ascii="Times New Roman" w:cs="Times New Roman" w:eastAsia="Times New Roman" w:hAnsi="Times New Roman"/>
          <w:sz w:val="18"/>
          <w:szCs w:val="18"/>
          <w:color w:val="auto"/>
        </w:rPr>
        <w:t>. The Borrower will, and will cause each of its Subsidiaries to, keep in accordance with GAAP proper books of record and account in which full, true and correct entries are made in all material respects of all dealings and transactions in relation to its business and activities. The Borrower will, and will cause each of its Subsidiaries to, permit any representatives designated by the Administrative Agent or any Lender,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w:t>
      </w:r>
    </w:p>
    <w:p>
      <w:pPr>
        <w:spacing w:after="0" w:line="18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Borrower will, and will cause each of its Subsidiaries to, comply with all laws, rules, regulations and orders of any Governmental Authority applicable to it or its property, except where the failure to do so, individually or in the aggregate, could not reasonably be expected to result in a Material Adverse Effect. The Borrower and its Subsidiaries will maintain in effect and enforce policies and procedures designed to ensure, and which are reasonably expected to continue to ensure, continued compliance with Anti-Corruption Laws and applicable Sanctions Laws and Regulations. The Borrower shall (a) notify the Administrative Agent and each Lender if the Borrower ceases to fall within an express exclusion to the “legal entity customer” definition under the Beneficial Ownership Regulation, and (b) following any such notice, promptly upon the reasonable request of the Administrative Agent or any Lender, provide the Administrative Agent or directly to such Lender, as the case may be, any Beneficial Ownership Certification as may be required by the Beneficial Ownership Regulation or any other information or documentation reasonably requested by it for purposes of complying with the Beneficial Ownership Regulation.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70" w:right="459" w:bottom="1440" w:gutter="0" w:footer="0" w:header="0"/>
        </w:sectPr>
      </w:pPr>
    </w:p>
    <w:bookmarkStart w:id="56" w:name="page57"/>
    <w:bookmarkEnd w:id="56"/>
    <w:p>
      <w:pPr>
        <w:ind w:left="4" w:right="4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5.07.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proceeds of the Loans will be used only (a) for the refinancing of the Indebtedness under the Existing Credit Facility, and for payment of transaction expenses related to the Transactions, and (b) for working capital, capital expenditures, acquisitions and other company purposes. No part of the proceeds of any Loan will be used, whether directly or indirectly, for any purpose that entails a violation of any of the Regulations of the Board, including Regulations U and X. The Borrower and its Subsidiaries shall not, and, to their knowledge, their respective officers, employees, directors and agents (in their capacity as officers, employees, directors or agents, respectively, of the Borrower or any of its Subsidiaries), shall not, use the proceeds of any Loan (i) to fund any activities or business of or with any Designated Person, or in any country or territory, that at the time of such funding is the subject of any sanctions under any Sanctions Laws and Regulations (on the Effective Date, Crimea, Kherson and Zaporizhzhia Regions of Ukraine, the so-called Donetsk and Luhansk People’s Republic regions of Ukraine and other non-Ukrainian controlled regions of Ukraine, Cuba, Iran, North Korea and Syria), (ii) in any other manner that would result in a material violation of any Sanctions Laws and Regulations by the Borrower or its Subsidiaries or (iii) in furtherance of an offer, payment, promise to pay, or authorization of the payment or giving of money, or anything else of value, to any Person in violation of any Anti-Corruption Laws.</w:t>
      </w:r>
    </w:p>
    <w:p>
      <w:pPr>
        <w:spacing w:after="0" w:line="192"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 xml:space="preserve">SECTION 5.08. </w:t>
      </w:r>
      <w:r>
        <w:rPr>
          <w:rFonts w:ascii="Times New Roman" w:cs="Times New Roman" w:eastAsia="Times New Roman" w:hAnsi="Times New Roman"/>
          <w:sz w:val="17"/>
          <w:szCs w:val="17"/>
          <w:u w:val="single" w:color="auto"/>
          <w:color w:val="auto"/>
        </w:rPr>
        <w:t>Environmental Matters</w:t>
      </w:r>
      <w:r>
        <w:rPr>
          <w:rFonts w:ascii="Times New Roman" w:cs="Times New Roman" w:eastAsia="Times New Roman" w:hAnsi="Times New Roman"/>
          <w:sz w:val="17"/>
          <w:szCs w:val="17"/>
          <w:color w:val="auto"/>
        </w:rPr>
        <w:t>. The Borrower has established and implemented, or will establish and implement, and will cause each of its Subsidiaries to establish and implement, such procedures as may be necessary to assure that (except for any failure of the following that, individually or in the aggregate, does not have a Material Adverse Effect): (i) all property of the Borrower and its Subsidiaries and the operations conducted thereon are in compliance with and do not violate the requirements of any Environmental Laws, (ii) no oil or solid wastes are disposed of or otherwise released on or to any property owned by the Borrower or its Subsidiaries except in compliance with Environmental Laws, (iii) no Hazardous Materials will be released on or to any such property in a quantity equal to or exceeding that quantity which requires reporting pursuant to Section 103 of CERCLA, and</w:t>
      </w:r>
    </w:p>
    <w:p>
      <w:pPr>
        <w:spacing w:after="0" w:line="5" w:lineRule="exact"/>
        <w:rPr>
          <w:sz w:val="20"/>
          <w:szCs w:val="20"/>
          <w:color w:val="auto"/>
        </w:rPr>
      </w:pPr>
    </w:p>
    <w:p>
      <w:pPr>
        <w:ind w:left="4" w:right="320" w:hanging="4"/>
        <w:spacing w:after="0" w:line="260" w:lineRule="auto"/>
        <w:tabs>
          <w:tab w:leader="none" w:pos="30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oil or Hazardous Materials is released on or to any such property so as to pose an imminent and substantial endangerment to public health or welfare or the environment.</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ERISA Information</w:t>
      </w:r>
      <w:r>
        <w:rPr>
          <w:rFonts w:ascii="Times New Roman" w:cs="Times New Roman" w:eastAsia="Times New Roman" w:hAnsi="Times New Roman"/>
          <w:sz w:val="18"/>
          <w:szCs w:val="18"/>
          <w:color w:val="auto"/>
        </w:rPr>
        <w:t>. The Borrower will furnish to the Administrative Agent:</w:t>
      </w:r>
    </w:p>
    <w:p>
      <w:pPr>
        <w:spacing w:after="0" w:line="225" w:lineRule="exact"/>
        <w:rPr>
          <w:sz w:val="20"/>
          <w:szCs w:val="20"/>
          <w:color w:val="auto"/>
        </w:rPr>
      </w:pPr>
    </w:p>
    <w:p>
      <w:pPr>
        <w:jc w:val="both"/>
        <w:ind w:left="444" w:right="40" w:firstLine="419"/>
        <w:spacing w:after="0" w:line="261" w:lineRule="auto"/>
        <w:tabs>
          <w:tab w:leader="none" w:pos="111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15 Business Days after the institution of or the withdrawal or partial withdrawal by the Borrower, any Subsidiary or any ERISA Affiliate from any Multiemployer Plan which would cause the Borrower, any Subsidiary or any ERISA Affiliate to incur Withdrawal Liability in excess of $100,000,000 (in the aggregate for all such withdrawals), a written notice thereof signed by an executive officer of the Borrower stating the applicable details; and</w:t>
      </w:r>
    </w:p>
    <w:p>
      <w:pPr>
        <w:spacing w:after="0" w:line="179" w:lineRule="exact"/>
        <w:rPr>
          <w:rFonts w:ascii="Times New Roman" w:cs="Times New Roman" w:eastAsia="Times New Roman" w:hAnsi="Times New Roman"/>
          <w:sz w:val="18"/>
          <w:szCs w:val="18"/>
          <w:color w:val="auto"/>
        </w:rPr>
      </w:pPr>
    </w:p>
    <w:p>
      <w:pPr>
        <w:ind w:left="444" w:right="100" w:firstLine="419"/>
        <w:spacing w:after="0" w:line="261" w:lineRule="auto"/>
        <w:tabs>
          <w:tab w:leader="none" w:pos="112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15 Business Days after an officer of the Borrower becomes aware of any material action at law or at equity brought against the Borrower, any of its Subsidiaries, any ERISA Affiliate, or any fiduciary of a Plan in connection with the administration of any Plan or the investment of assets thereunder, a written notice signed by an executive officer of the Borrower specifying the nature thereof and what action the Borrower is taking or proposes to take with respect thereto.</w:t>
      </w:r>
    </w:p>
    <w:p>
      <w:pPr>
        <w:spacing w:after="0" w:line="11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64"/>
          </w:cols>
          <w:pgMar w:left="436" w:top="270" w:right="499" w:bottom="1440" w:gutter="0" w:footer="0" w:header="0"/>
        </w:sectPr>
      </w:pPr>
    </w:p>
    <w:bookmarkStart w:id="57" w:name="page58"/>
    <w:bookmarkEnd w:id="57"/>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5.10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The Borrower will, and will cause each of its Subsidiaries to, pay and discharge, or cause to be paid and discharged, promptly or make, or cause to be made, timely deposit of all taxes (including Federal Insurance Contribution Act payments and withholding taxes), assessments and governmental charges or levies imposed upon the Borrower or any Subsidiary or upon the income or any property of the Borrower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the Borrower nor any Subsidiary shall be required to pay any such tax, assessment, charge, levy or claim if the amount, applicability or validity thereof shall currently be contested in good faith by appropriate proceedings diligently conducted by or on behalf of the Borrower or its Subsidiary, and if the Borrower or its Subsidiary shall have set up reserves therefor adequate under GAAP or if no Material Adverse Effect shall be occasioned by all such failures in the aggregate.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Negative Covenants</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Until the Commitments have expired or terminated and the principal of and interest on each Loan and all fees payable hereunder have been paid in full, the Borrower covenants and agrees with the Lenders that: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7"/>
          <w:szCs w:val="17"/>
          <w:color w:val="auto"/>
        </w:rPr>
        <w:t xml:space="preserve">SECTION 6.02. </w:t>
      </w:r>
      <w:r>
        <w:rPr>
          <w:rFonts w:ascii="Times New Roman" w:cs="Times New Roman" w:eastAsia="Times New Roman" w:hAnsi="Times New Roman"/>
          <w:sz w:val="17"/>
          <w:szCs w:val="17"/>
          <w:u w:val="single" w:color="auto"/>
          <w:color w:val="auto"/>
        </w:rPr>
        <w:t>Liens</w:t>
      </w:r>
      <w:r>
        <w:rPr>
          <w:rFonts w:ascii="Times New Roman" w:cs="Times New Roman" w:eastAsia="Times New Roman" w:hAnsi="Times New Roman"/>
          <w:sz w:val="17"/>
          <w:szCs w:val="17"/>
          <w:color w:val="auto"/>
        </w:rPr>
        <w:t xml:space="preserve">. The Borrower shall not, and shall not permit any Subsidiary (other than Project Finance Subsidiaries) or EPD to, create, assume, incur or suffer to exist any Lien, other than a Permitted Lien, on any Principal Property or upon any Equity Interests of the Borrower or any Subsidiary (other than Project Finance Subsidiaries) owning or leasing any Principal Property, now owned or hereafter acquired by the Borrower or such Subsidiary to secure any Indebtedness of the Borrower, EPD or any other Person (other than the Indebtedness under this Agreement), without in any such case making effective provision whereby any and all Indebtedness under this Agreement then outstanding will be secured by a Lien equally and ratably with, or prior to, such Indebtedness for so long as such Indebtedness shall be so secured. Notwithstanding the foregoing, the Borrower may, and may permit any Subsidiary (other than a Project Finance Subsidiary) and EPD to, create, assume, incur or suffer to exist any Lien upon any Principal Property to secure Indebtedness of the Borrower, EPD or any other Person (other than the Indebtedness under this Agreement), other than a Permitted Lien without securing the Indebtedness under this Agreement, provided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the aggregate principal amount of all Indebtedness then outstanding secured by such Lien and all similar Liens together with the aggregate amount of Attributable Indebtedness deemed to be outstanding in respect of all Sale/Leaseback Transactions (exclusive of any Permitted Sale/Leaseback Transactions), does not exceed 10% of Consolidated Net Tangible Assets.</w:t>
      </w:r>
    </w:p>
    <w:p>
      <w:pPr>
        <w:spacing w:after="0" w:line="182"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Fundamental Changes</w:t>
      </w:r>
      <w:r>
        <w:rPr>
          <w:rFonts w:ascii="Times New Roman" w:cs="Times New Roman" w:eastAsia="Times New Roman" w:hAnsi="Times New Roman"/>
          <w:sz w:val="18"/>
          <w:szCs w:val="18"/>
          <w:color w:val="auto"/>
        </w:rPr>
        <w:t>. The Borrower will not merge into or consolidate with any other Person, or permit any other Person to merge into or consolidate with it, or sell, transfer, lease or otherwise dispose of (in one transaction or in a series of transactions) all or substantially all of its assets, or all or substantially all of the Equity Interests of any of its Subsidiaries (other than Project Finance Subsidiaries) (in each case, whether now owned or hereafter acquired), or liquidate or dissolve, except that, if at the time thereof and immediately after giving effect thereto no Default shall have occurred and be continuing (i) any Person may merge into or consolidate with the Borrower in a transaction in which the Borrower is the surviving entity, (ii) any Subsidiary of the Borrower may be merged into, amalgamated with or consolidated with another Subsidiary, change its jurisdiction of organization, or change the type of business entity in which it conducts its business, and (iii) Borrower may sell or otherwise dispose of all or any portion of the Equity Interests of any of its Subsidiaries.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70" w:right="459" w:bottom="1440" w:gutter="0" w:footer="0" w:header="0"/>
        </w:sectPr>
      </w:pPr>
    </w:p>
    <w:bookmarkStart w:id="58" w:name="page59"/>
    <w:bookmarkEnd w:id="58"/>
    <w:p>
      <w:pPr>
        <w:ind w:left="4" w:right="8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6.04. </w:t>
      </w:r>
      <w:r>
        <w:rPr>
          <w:rFonts w:ascii="Times New Roman" w:cs="Times New Roman" w:eastAsia="Times New Roman" w:hAnsi="Times New Roman"/>
          <w:sz w:val="18"/>
          <w:szCs w:val="18"/>
          <w:u w:val="single" w:color="auto"/>
          <w:color w:val="auto"/>
        </w:rPr>
        <w:t>Investment Restriction</w:t>
      </w:r>
      <w:r>
        <w:rPr>
          <w:rFonts w:ascii="Times New Roman" w:cs="Times New Roman" w:eastAsia="Times New Roman" w:hAnsi="Times New Roman"/>
          <w:sz w:val="18"/>
          <w:szCs w:val="18"/>
          <w:color w:val="auto"/>
        </w:rPr>
        <w:t xml:space="preserve">. Neither the Borrower nor any Subsidiary (other than a Project Finance Subsidiary) will make or suffer to exist investments in Project Finance Subsidiaries, in the aggregate at any one time outstanding, in excess of the sum of (i) the amount of investments existing as of the Effective Date in Project Finance Subsidiaries, (ii) $150,000,000, and (iii) the amount of any portion of the investments permitted by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repaid to the Borrower or any Subsidiary as a dividend, repayment of a loan or advance, release or discharge of a guarantee or other obligation or other transfer of property or return of capital, as the case may be, occurring after the Effective Date. Computation of the amount of any investment shall be made without any adjustment for increases or decreases in value, or write-ups, write-downs or write-offs with respect to such investment or interest or other earnings on such investment.</w:t>
      </w:r>
    </w:p>
    <w:p>
      <w:pPr>
        <w:spacing w:after="0" w:line="189"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xml:space="preserve">. The Borrower will not, and will not permit any of its Subsidiaries (other than Project Finance Subsidiaries) to, declare or make, or agree to pay or make, directly or indirectly, any Restricted Payment, except as long as no Event of Default has occurred and is continuing or would result therefrom, (i) the Borrower and the Subsidiaries may make Restricted Payments necessary to fund the Program, (ii) the Borrower may make Restricted Payments from Available Cash (as defined in the Company Agreement) from Operating Surplus (as defined in the Company Agreement) cumulative from January 1, 1999 through the date of such Restricted Payment, (iii) any Subsidiary may buy back any of its own Equity Interests, and (iv) the Borrower and its Subsidiaries may make payments or other distributions to officers, directors or employees with respect to the exercise by any such Persons of options, warrants or other rights to acquire Equity Interests in EPD, the Borrower or such Subsidiary issued pursuant to an employment, equity award, equity option or equity appreciation agreement or plans entered into by EPD, the Borrower or such Subsidiary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even if an Event of Default shall have occurred and is continuing, no Subsidiary shall be prohibited from upstreaming dividends or other payments to the Borrower or any Subsidiary (which is not a Project Finance Subsidiary) or making, in the case of any Subsidiary that is not wholly-owned (directly or indirectly) by the Borrower, ratable dividends or payments, as the case may be, to the other owners of Equity Interests in such Subsidiary.</w:t>
      </w:r>
    </w:p>
    <w:p>
      <w:pPr>
        <w:spacing w:after="0" w:line="190" w:lineRule="exact"/>
        <w:rPr>
          <w:sz w:val="20"/>
          <w:szCs w:val="20"/>
          <w:color w:val="auto"/>
        </w:rPr>
      </w:pPr>
    </w:p>
    <w:p>
      <w:pPr>
        <w:ind w:left="4" w:right="240" w:firstLine="440"/>
        <w:spacing w:after="0" w:line="272" w:lineRule="auto"/>
        <w:rPr>
          <w:sz w:val="20"/>
          <w:szCs w:val="20"/>
          <w:color w:val="auto"/>
        </w:rPr>
      </w:pPr>
      <w:r>
        <w:rPr>
          <w:rFonts w:ascii="Times New Roman" w:cs="Times New Roman" w:eastAsia="Times New Roman" w:hAnsi="Times New Roman"/>
          <w:sz w:val="17"/>
          <w:szCs w:val="17"/>
          <w:color w:val="auto"/>
        </w:rPr>
        <w:t xml:space="preserve">SECTION 6.06. </w:t>
      </w:r>
      <w:r>
        <w:rPr>
          <w:rFonts w:ascii="Times New Roman" w:cs="Times New Roman" w:eastAsia="Times New Roman" w:hAnsi="Times New Roman"/>
          <w:sz w:val="17"/>
          <w:szCs w:val="17"/>
          <w:u w:val="single" w:color="auto"/>
          <w:color w:val="auto"/>
        </w:rPr>
        <w:t>Restrictive Agreements</w:t>
      </w:r>
      <w:r>
        <w:rPr>
          <w:rFonts w:ascii="Times New Roman" w:cs="Times New Roman" w:eastAsia="Times New Roman" w:hAnsi="Times New Roman"/>
          <w:sz w:val="17"/>
          <w:szCs w:val="17"/>
          <w:color w:val="auto"/>
        </w:rPr>
        <w:t>. The Borrower will not, and will not permit any of its Subsidiaries (other than Project Finance Subsidiaries) to, directly or indirectly, enter into, incur or permit to exist any agreement or other arrangement with any Person, other than the Lenders pursuant hereto, which prohibits, restricts or imposes any conditions upon the ability of any Subsidiary (other than Project Finance Subsidiaries) to</w:t>
      </w:r>
    </w:p>
    <w:p>
      <w:pPr>
        <w:spacing w:after="0" w:line="2" w:lineRule="exact"/>
        <w:rPr>
          <w:sz w:val="20"/>
          <w:szCs w:val="20"/>
          <w:color w:val="auto"/>
        </w:rPr>
      </w:pPr>
    </w:p>
    <w:p>
      <w:pPr>
        <w:ind w:left="4" w:hanging="4"/>
        <w:spacing w:after="0" w:line="251" w:lineRule="auto"/>
        <w:tabs>
          <w:tab w:leader="none" w:pos="24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or pay any Indebtedness owed to the Borrower or any Subsidiary, or (b) make subordinate loans or advances to or make other investments in the Borrower or any Subsidiary in each case, other than restrictions or conditions contained in, or existing by reasons of, any agreement or instrument (i) existing on the date hereof and identified on Schedule 6.06, (ii) relating to property existing at the time of the acquisition thereof, so long as the restriction or condition relates only to the property so acquired, (iii) relating to any Indebtedness of, or otherwise to, any Subsidiary at the time such Subsidiary was merged, amalgamated or consolidated with or into, or acquired by, the Borrower or a Subsidiary or became a Subsidiary and not created in contemplation thereof, (iv) effecting a renewal, extension, refinancing, refund or replacement (or successive extensions, renewals, refinancings, refunds or replacements) of Indebtedness issued under an agreement referred to in clauses (i) through (iii) above, so long as the restrictions and conditions contained in any such renewal, extension, refinancing, refund or</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4"/>
          </w:cols>
          <w:pgMar w:left="436" w:top="270" w:right="459" w:bottom="1440" w:gutter="0" w:footer="0" w:header="0"/>
        </w:sectPr>
      </w:pPr>
    </w:p>
    <w:bookmarkStart w:id="59" w:name="page60"/>
    <w:bookmarkEnd w:id="59"/>
    <w:p>
      <w:pPr>
        <w:ind w:left="4" w:right="10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replacement agreement, taken as a whole, are not materially more restrictive than the restrictions and conditions contained in the original agreement, as determined in good faith by the board of directors of the Manager, (v) constituting customary provisions restricting subletting or assignment of any leases of the Borrower or any Subsidiary or provisions in agreements that restrict the assignment of such agreement or any rights thereunder,</w:t>
      </w:r>
    </w:p>
    <w:p>
      <w:pPr>
        <w:spacing w:after="0" w:line="1" w:lineRule="exact"/>
        <w:rPr>
          <w:sz w:val="20"/>
          <w:szCs w:val="20"/>
          <w:color w:val="auto"/>
        </w:rPr>
      </w:pPr>
    </w:p>
    <w:p>
      <w:pPr>
        <w:ind w:left="4" w:hanging="4"/>
        <w:spacing w:after="0" w:line="251" w:lineRule="auto"/>
        <w:tabs>
          <w:tab w:leader="none" w:pos="30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constituting restrictions on the sale or other disposition of any property securing Indebtedness as a result of a Lien on such property permitted hereunder, (vii) constituting any temporary encumbrance or restriction with respect to a Subsidiary under an agreement that has been entered into for the disposition of all or substantially all of the outstanding Equity Interests of or assets of such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disposition is otherwise permitted hereunder, (viii) constituting customary restrictions on cash, other deposits or assets imposed by customers and other persons under contracts entered into in the ordinary course of business, (ix) constituting provisions contained in agreements or instruments relating to Indebtedness that prohibit the transfer of all or substantially all of the assets of the obligor under that agreement or instrument unless the transferee assumes the obligations of the obligor under such agreement or instrument or such assets may be transferred subject to such prohibition, (x) constituting a requirement that a certain amount of Indebtedness be maintained between a Subsidiary and the Borrower or another Subsidiary, (xi) constituting any restriction or condition with respect to property under an agreement that has been entered into for the disposition of such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disposition is otherwise permitted hereunder, (xii) constituting any restriction or condition with respect to property under a charter, lease or other agreement that has been entered into for the employment of such property or (xiii) that is a Hybrid Security or an indenture, document, agreement or security entered into or issued in connection with a Hybrid Security or otherwise constituting a restriction or condition on the payment of dividends or distributions by an issuer of a Hybrid Security.</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Financial Condition Covenant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6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Ratio of Consolidated Indebtedness to Consolidated EBITDA</w:t>
      </w:r>
      <w:r>
        <w:rPr>
          <w:rFonts w:ascii="Times New Roman" w:cs="Times New Roman" w:eastAsia="Times New Roman" w:hAnsi="Times New Roman"/>
          <w:sz w:val="18"/>
          <w:szCs w:val="18"/>
          <w:color w:val="auto"/>
        </w:rPr>
        <w:t>. The Borrower shall not permit its Debt Coverage Ratio in each case for the four full fiscal quarters most recently ended to exceed:</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5.00 to 1.00 </w:t>
      </w:r>
      <w:r>
        <w:rPr>
          <w:rFonts w:ascii="Times New Roman" w:cs="Times New Roman" w:eastAsia="Times New Roman" w:hAnsi="Times New Roman"/>
          <w:sz w:val="18"/>
          <w:szCs w:val="18"/>
          <w:color w:val="auto"/>
        </w:rPr>
        <w:t>as of the last day of any fiscal quarter;</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following a Specified Acquisition (defined below), such ratio shall not exceed</w:t>
      </w:r>
    </w:p>
    <w:p>
      <w:pPr>
        <w:spacing w:after="0" w:line="221" w:lineRule="exact"/>
        <w:rPr>
          <w:sz w:val="20"/>
          <w:szCs w:val="20"/>
          <w:color w:val="auto"/>
        </w:rPr>
      </w:pPr>
    </w:p>
    <w:p>
      <w:pPr>
        <w:ind w:left="444" w:right="3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5.50 to 1.00 </w:t>
      </w:r>
      <w:r>
        <w:rPr>
          <w:rFonts w:ascii="Times New Roman" w:cs="Times New Roman" w:eastAsia="Times New Roman" w:hAnsi="Times New Roman"/>
          <w:sz w:val="18"/>
          <w:szCs w:val="18"/>
          <w:color w:val="auto"/>
        </w:rPr>
        <w:t>as of the last day of (i) the fiscal quarter in which the Specified Acquisition occurred (the “</w:t>
      </w:r>
      <w:r>
        <w:rPr>
          <w:rFonts w:ascii="Times New Roman" w:cs="Times New Roman" w:eastAsia="Times New Roman" w:hAnsi="Times New Roman"/>
          <w:sz w:val="18"/>
          <w:szCs w:val="18"/>
          <w:u w:val="single" w:color="auto"/>
          <w:color w:val="auto"/>
        </w:rPr>
        <w:t>Acquisition Quarter</w:t>
      </w:r>
      <w:r>
        <w:rPr>
          <w:rFonts w:ascii="Times New Roman" w:cs="Times New Roman" w:eastAsia="Times New Roman" w:hAnsi="Times New Roman"/>
          <w:sz w:val="18"/>
          <w:szCs w:val="18"/>
          <w:color w:val="auto"/>
        </w:rPr>
        <w:t>”), and (ii) the two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fiscal quarters following the Acquisition Quarter.</w:t>
      </w:r>
    </w:p>
    <w:p>
      <w:pPr>
        <w:spacing w:after="0" w:line="159" w:lineRule="exact"/>
        <w:rPr>
          <w:sz w:val="20"/>
          <w:szCs w:val="20"/>
          <w:color w:val="auto"/>
        </w:rPr>
      </w:pPr>
    </w:p>
    <w:p>
      <w:pPr>
        <w:ind w:left="4" w:right="100"/>
        <w:spacing w:after="0" w:line="276" w:lineRule="auto"/>
        <w:rPr>
          <w:sz w:val="20"/>
          <w:szCs w:val="20"/>
          <w:color w:val="auto"/>
        </w:rPr>
      </w:pPr>
      <w:r>
        <w:rPr>
          <w:rFonts w:ascii="Times New Roman" w:cs="Times New Roman" w:eastAsia="Times New Roman" w:hAnsi="Times New Roman"/>
          <w:sz w:val="17"/>
          <w:szCs w:val="17"/>
          <w:color w:val="auto"/>
        </w:rPr>
        <w:t>As used herein, “</w:t>
      </w:r>
      <w:r>
        <w:rPr>
          <w:rFonts w:ascii="Times New Roman" w:cs="Times New Roman" w:eastAsia="Times New Roman" w:hAnsi="Times New Roman"/>
          <w:sz w:val="17"/>
          <w:szCs w:val="17"/>
          <w:u w:val="single" w:color="auto"/>
          <w:color w:val="auto"/>
        </w:rPr>
        <w:t>Specified Acquisition</w:t>
      </w:r>
      <w:r>
        <w:rPr>
          <w:rFonts w:ascii="Times New Roman" w:cs="Times New Roman" w:eastAsia="Times New Roman" w:hAnsi="Times New Roman"/>
          <w:sz w:val="17"/>
          <w:szCs w:val="17"/>
          <w:color w:val="auto"/>
        </w:rPr>
        <w:t xml:space="preserve">” means, at the election of Borrower, one or more acquisitions of assets or entities or operating lines or divisions in any rolling 12-month period for an aggregate purchase price of not less than $100,000,000;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in the event the Debt Coverage Ratio exceeds</w:t>
      </w:r>
    </w:p>
    <w:p>
      <w:pPr>
        <w:spacing w:after="0" w:line="1"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color w:val="auto"/>
        </w:rPr>
        <w:t xml:space="preserve">5.00 to 1.00 at the end of any fiscal quarter in which one or more acquisitions otherwise qualifying as a Specified Acquisition but for Borrower’s failure to so elect shall have occurred, Borrower shall be deemed to have so elected a Specified Acquisition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following the election (or deemed election) of a Specified Acquisition, Borrower may not elect (or be deemed to have elected) a subsequent Specified Acquisition unless, at the time of such subsequent election, the Debt Coverage Ratio does not exceed 5.00 to 1.00.</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84"/>
          </w:cols>
          <w:pgMar w:left="436" w:top="270" w:right="479" w:bottom="1440" w:gutter="0" w:footer="0" w:header="0"/>
        </w:sectPr>
      </w:pPr>
    </w:p>
    <w:bookmarkStart w:id="60" w:name="page61"/>
    <w:bookmarkEnd w:id="60"/>
    <w:p>
      <w:pPr>
        <w:ind w:right="1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purposes of calculating such ratio the Project Finance Subsidiaries shall be disregarded; however, such exclusion does not apply to, and there shall be included in such calculation, the amount of cash dividends or distributions payable with respect to such a period by a Project Finance Subsidiary which are actually received by the Borrower or a Subsidiary (other than a Project Finance Subsidiary) on or prior to the date the financial statements with respect to such period referred to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are required to be delivered by Borrower. For purposes of this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if during any period of four fiscal quarters the Borrower or any Subsidiary acquires any Person (or any interest in any Person) or all or substantially all of the assets of any Person, the EBITDA attributable to such assets or an amount equal to the percentage of ownership of the Borrower or a Subsidiary, as the case may be, in such Person times the EBITDA of such Person, for such period determined on a pro forma basis (which determination, in each case, shall be subject to approval of the Administrative Agent, not to be unreasonably withheld) may be included as Consolidated EBITDA for such period as if such acquisition occurred on the first day of such four fiscal quarter period;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during the portion of such period that follows such acquisition, the computation in respect of the EBITDA of such Person or such assets, as the case may be, shall be made on the basis of actual (rather than pro forma) results.</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In addition, for purposes of this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Hybrid Securities up to an aggregate amount of 15% of Consolidated Total Capitalization shall be excluded from Consolidated Indebtedness and Consolidated EBITDA may include, at Borrower’s option, any Material Project EBITDA Adjustments as provided in the definition thereof.</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u w:val="single" w:color="auto"/>
          <w:color w:val="auto"/>
        </w:rPr>
        <w:t>Events of Default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any of the following events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shall occur:</w:t>
      </w:r>
    </w:p>
    <w:p>
      <w:pPr>
        <w:spacing w:after="0" w:line="225" w:lineRule="exact"/>
        <w:rPr>
          <w:sz w:val="20"/>
          <w:szCs w:val="20"/>
          <w:color w:val="auto"/>
        </w:rPr>
      </w:pPr>
    </w:p>
    <w:p>
      <w:pPr>
        <w:ind w:right="180" w:firstLine="436"/>
        <w:spacing w:after="0" w:line="282" w:lineRule="auto"/>
        <w:tabs>
          <w:tab w:leader="none" w:pos="68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pay any principal of any Loan when and as the same shall become due and payable, whether at the due date thereof or at a date fixed for prepayment thereof or otherwise;</w:t>
      </w:r>
    </w:p>
    <w:p>
      <w:pPr>
        <w:spacing w:after="0" w:line="161" w:lineRule="exact"/>
        <w:rPr>
          <w:rFonts w:ascii="Times New Roman" w:cs="Times New Roman" w:eastAsia="Times New Roman" w:hAnsi="Times New Roman"/>
          <w:sz w:val="18"/>
          <w:szCs w:val="18"/>
          <w:color w:val="auto"/>
        </w:rPr>
      </w:pPr>
    </w:p>
    <w:p>
      <w:pPr>
        <w:ind w:right="120" w:firstLine="436"/>
        <w:spacing w:after="0" w:line="266" w:lineRule="auto"/>
        <w:tabs>
          <w:tab w:leader="none" w:pos="69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pay any interest on any Loan or any fee or any other amount (other than an amount referred to in clause (a) of this Article) payable under this Agreement, when and as the same shall become due and payable, and such failure shall continue unremedied for a period of five (5) Business Days;</w:t>
      </w:r>
    </w:p>
    <w:p>
      <w:pPr>
        <w:spacing w:after="0" w:line="175" w:lineRule="exact"/>
        <w:rPr>
          <w:rFonts w:ascii="Times New Roman" w:cs="Times New Roman" w:eastAsia="Times New Roman" w:hAnsi="Times New Roman"/>
          <w:sz w:val="18"/>
          <w:szCs w:val="18"/>
          <w:color w:val="auto"/>
        </w:rPr>
      </w:pPr>
    </w:p>
    <w:p>
      <w:pPr>
        <w:ind w:firstLine="436"/>
        <w:spacing w:after="0" w:line="261" w:lineRule="auto"/>
        <w:tabs>
          <w:tab w:leader="none" w:pos="68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or on behalf of the Borrower, EPD or any Subsidiary of the Borrower in or in connection with this Agreement or any amendment or modification hereof or waiver hereunder, or in any report, certificate, financial statement or other document furnished pursuant to or in connection with this Agreement or any amendment or modification hereof or waiver hereunder, shall prove to have been incorrect in any material respect when made or deemed made and such materiality is continuing;</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70" w:right="459" w:bottom="1440" w:gutter="0" w:footer="0" w:header="0"/>
        </w:sectPr>
      </w:pPr>
    </w:p>
    <w:bookmarkStart w:id="61" w:name="page62"/>
    <w:bookmarkEnd w:id="61"/>
    <w:p>
      <w:pPr>
        <w:ind w:left="4" w:right="600" w:firstLine="436"/>
        <w:spacing w:after="0" w:line="282" w:lineRule="auto"/>
        <w:tabs>
          <w:tab w:leader="none" w:pos="699"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Borrower shall fail to observe or perform any covenant, condition or agreement contained in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5.03</w:t>
      </w:r>
      <w:r>
        <w:rPr>
          <w:rFonts w:ascii="Times New Roman" w:cs="Times New Roman" w:eastAsia="Times New Roman" w:hAnsi="Times New Roman"/>
          <w:sz w:val="18"/>
          <w:szCs w:val="18"/>
          <w:color w:val="auto"/>
        </w:rPr>
        <w:t xml:space="preserve"> (with respect to the Borrower’s existence) or </w:t>
      </w:r>
      <w:r>
        <w:rPr>
          <w:rFonts w:ascii="Times New Roman" w:cs="Times New Roman" w:eastAsia="Times New Roman" w:hAnsi="Times New Roman"/>
          <w:sz w:val="18"/>
          <w:szCs w:val="18"/>
          <w:u w:val="single" w:color="auto"/>
          <w:color w:val="auto"/>
        </w:rPr>
        <w:t>5.07</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4" w:right="100" w:firstLine="436"/>
        <w:spacing w:after="0" w:line="266" w:lineRule="auto"/>
        <w:tabs>
          <w:tab w:leader="none" w:pos="689"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observe or perform any covenant, condition or agreement contained in this Agreement (other than those specified in clause (a), (b) or (d) of this Article), and such failure shall continue unremedied for a period of 30 days after written notice thereof from the Administrative Agent to the Borrower (which notice will be given at the request of any Lender);</w:t>
      </w:r>
    </w:p>
    <w:p>
      <w:pPr>
        <w:spacing w:after="0" w:line="175" w:lineRule="exact"/>
        <w:rPr>
          <w:rFonts w:ascii="Times New Roman" w:cs="Times New Roman" w:eastAsia="Times New Roman" w:hAnsi="Times New Roman"/>
          <w:sz w:val="18"/>
          <w:szCs w:val="18"/>
          <w:color w:val="auto"/>
        </w:rPr>
      </w:pPr>
    </w:p>
    <w:p>
      <w:pPr>
        <w:ind w:left="4" w:firstLine="436"/>
        <w:spacing w:after="0" w:line="252" w:lineRule="auto"/>
        <w:tabs>
          <w:tab w:leader="none" w:pos="669"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any Material Subsidiary (other than Project Finance Subsidiaries) shall (i) fail to pay (A) any principal of or premium or interest on any Material Indebtedness of the Borrower or such Material Subsidiary (as the case may be), or (B) aggregate net obligations under one or more Hedging Agreements (excluding amounts the validity of which are being contested in good faith by appropriate proceedings, if necessary, and for which adequate reserves with respect thereto are maintained on the books of the Borrower or such Material Subsidiary (as the case may be)) in excess of $100,000,000, in each case when the same becomes due and payable (whether by scheduled maturity, required prepayment, acceleration, demand or otherwise), and such failure shall continue after the applicable grace period, if any, specified in the agreement or instrument relating to such Material Indebtedness or such Hedging Agreements; or (ii) default in the observance or performance of any covenant or obligation contained in any agreement or instrument relating to any such Material Indebtedness that in substance is customarily considered a default in loan documents (in each case, other than a failure to pay specified in clause (i) of this subsection (f)) and such default shall continue after the applicable grace period, if any, specified in such agreement or instrument, if the effect thereof is to accelerate the maturity of such Material Indebtedness or require such Material Indebtedness to be prepaid prior to the stated maturity thereof; for the avoidance of doubt the parties acknowledge and agree that any payment required to be made under a guaranty of payment or collection described in clause (c) of the definition of Indebtedness shall be due and payable at the time such payment is due and payable under the terms of such guaranty (taking into account any applicable grace period) and such payment shall be deemed not to have been accelerated or required to be prepaid prior to its stated maturity as a result of the obligation guaranteed having become due;</w:t>
      </w:r>
    </w:p>
    <w:p>
      <w:pPr>
        <w:spacing w:after="0" w:line="197" w:lineRule="exact"/>
        <w:rPr>
          <w:rFonts w:ascii="Times New Roman" w:cs="Times New Roman" w:eastAsia="Times New Roman" w:hAnsi="Times New Roman"/>
          <w:sz w:val="18"/>
          <w:szCs w:val="18"/>
          <w:color w:val="auto"/>
        </w:rPr>
      </w:pPr>
    </w:p>
    <w:p>
      <w:pPr>
        <w:ind w:left="4" w:firstLine="436"/>
        <w:spacing w:after="0" w:line="256" w:lineRule="auto"/>
        <w:tabs>
          <w:tab w:leader="none" w:pos="699"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proceeding shall be commenced or an involuntary petition shall be filed seeking (i) liquidation, reorganization or other relief in respect of the Borrower or any Material Subsidiary (other than Project Finance Subsidiaries)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Material Subsidiary (other than Project Finance Subsidiaries) or for a substantial part of its assets, and, in any such case, such proceeding or petition shall continue undismissed for 60 days or an order or decree approving or ordering any of the foregoing shall be entered;</w:t>
      </w:r>
    </w:p>
    <w:p>
      <w:pPr>
        <w:spacing w:after="0" w:line="187" w:lineRule="exact"/>
        <w:rPr>
          <w:rFonts w:ascii="Times New Roman" w:cs="Times New Roman" w:eastAsia="Times New Roman" w:hAnsi="Times New Roman"/>
          <w:sz w:val="18"/>
          <w:szCs w:val="18"/>
          <w:color w:val="auto"/>
        </w:rPr>
      </w:pPr>
    </w:p>
    <w:p>
      <w:pPr>
        <w:ind w:left="4" w:right="60" w:firstLine="436"/>
        <w:spacing w:after="0" w:line="272" w:lineRule="auto"/>
        <w:tabs>
          <w:tab w:leader="none" w:pos="699"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or any Material Subsidiary (other than Project Finance Subsidiaries)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w:t>
      </w:r>
    </w:p>
    <w:p>
      <w:pPr>
        <w:spacing w:after="0" w:line="1" w:lineRule="exact"/>
        <w:rPr>
          <w:rFonts w:ascii="Times New Roman" w:cs="Times New Roman" w:eastAsia="Times New Roman" w:hAnsi="Times New Roman"/>
          <w:sz w:val="17"/>
          <w:szCs w:val="17"/>
          <w:color w:val="auto"/>
        </w:rPr>
      </w:pPr>
    </w:p>
    <w:p>
      <w:pPr>
        <w:ind w:left="4" w:right="20" w:hanging="4"/>
        <w:spacing w:after="0" w:line="253" w:lineRule="auto"/>
        <w:tabs>
          <w:tab w:leader="none" w:pos="25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Article, (iii) apply for or consent to the appointment of a receiver, trustee, custodian, sequestrator, conservator or similar official for the Borrower or any Material Subsidiary (other than Project Finance Subsidiaries)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84"/>
          </w:cols>
          <w:pgMar w:left="436" w:top="270" w:right="479" w:bottom="1440" w:gutter="0" w:footer="0" w:header="0"/>
        </w:sectPr>
      </w:pPr>
    </w:p>
    <w:bookmarkStart w:id="62" w:name="page63"/>
    <w:bookmarkEnd w:id="62"/>
    <w:p>
      <w:pPr>
        <w:ind w:right="340" w:firstLine="436"/>
        <w:spacing w:after="0" w:line="282"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 or any Material Subsidiary (other than Project Finance Subsidiaries) shall become unable, admit in writing its inability or fail generally to pay its debts as they become due;</w:t>
      </w:r>
    </w:p>
    <w:p>
      <w:pPr>
        <w:spacing w:after="0" w:line="161" w:lineRule="exact"/>
        <w:rPr>
          <w:rFonts w:ascii="Times New Roman" w:cs="Times New Roman" w:eastAsia="Times New Roman" w:hAnsi="Times New Roman"/>
          <w:sz w:val="18"/>
          <w:szCs w:val="18"/>
          <w:color w:val="auto"/>
        </w:rPr>
      </w:pPr>
    </w:p>
    <w:p>
      <w:pPr>
        <w:ind w:right="260" w:firstLine="436"/>
        <w:spacing w:after="0" w:line="261"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judgments for the payment of money in an aggregate uninsured amount equal to or greater than $100,000,000 shall be rendered against the Borrower or any Material Subsidiary (other than Project Finance Subsidiaries) or any combination thereof and the same shall remain undischarged for a period of 30 consecutive days during which execution shall not be effectively stayed, or any action shall be legally taken by a judgment creditor to attach or levy upon any assets of the Borrower or any such Material Subsidiary to enforce any such judgment;</w:t>
      </w:r>
    </w:p>
    <w:p>
      <w:pPr>
        <w:spacing w:after="0" w:line="179" w:lineRule="exact"/>
        <w:rPr>
          <w:rFonts w:ascii="Times New Roman" w:cs="Times New Roman" w:eastAsia="Times New Roman" w:hAnsi="Times New Roman"/>
          <w:sz w:val="18"/>
          <w:szCs w:val="18"/>
          <w:color w:val="auto"/>
        </w:rPr>
      </w:pPr>
    </w:p>
    <w:p>
      <w:pPr>
        <w:ind w:right="120" w:firstLine="436"/>
        <w:spacing w:after="0" w:line="282" w:lineRule="auto"/>
        <w:tabs>
          <w:tab w:leader="none" w:pos="69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ERISA Event shall have occurred that, when taken together with all other ERISA Events that have occurred, could reasonably be expected to result in liability of the Borrower and its Subsidiaries in an aggregate amount exceeding $100,000,000 for all periods;</w:t>
      </w:r>
    </w:p>
    <w:p>
      <w:pPr>
        <w:spacing w:after="0" w:line="161" w:lineRule="exact"/>
        <w:rPr>
          <w:rFonts w:ascii="Times New Roman" w:cs="Times New Roman" w:eastAsia="Times New Roman" w:hAnsi="Times New Roman"/>
          <w:sz w:val="18"/>
          <w:szCs w:val="18"/>
          <w:color w:val="auto"/>
        </w:rPr>
      </w:pPr>
    </w:p>
    <w:p>
      <w:pPr>
        <w:ind w:right="80" w:firstLine="436"/>
        <w:spacing w:after="0" w:line="266"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EPD takes, suffers or permits to exist any of the events or conditions referred to in clauses (g), (h), (i) or (j) of this Article or if the section of the EPD Guaranty Agreement that contains the payment obligation shall for any reason cease to be valid and binding on EPD or if EPD shall so state in writing;</w:t>
      </w:r>
    </w:p>
    <w:p>
      <w:pPr>
        <w:spacing w:after="0" w:line="175"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 or Enterprise GP takes, suffers or permits to exist any of the events or conditions referred to in clauses (g), (h) or (i)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w:t>
      </w:r>
    </w:p>
    <w:p>
      <w:pPr>
        <w:spacing w:after="0" w:line="206"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shall occur; or</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(as defined in the Multi-Year Credit Facility) shall occur and be continuing;</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then, and in every such event (other than an event with respect to the Borrower described in clause (g) or (h) of this Article), and at any time thereafter during the continuance of such event, the Administrative Agent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in case of any event with respect to the Borrower described in clause (g) or (h) of this Article, the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70" w:right="45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The Administrative Agent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The Administrative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460" w:firstLine="440"/>
        <w:spacing w:after="0" w:line="266" w:lineRule="auto"/>
        <w:rPr>
          <w:sz w:val="20"/>
          <w:szCs w:val="20"/>
          <w:color w:val="auto"/>
        </w:rPr>
      </w:pPr>
      <w:r>
        <w:rPr>
          <w:rFonts w:ascii="Times New Roman" w:cs="Times New Roman" w:eastAsia="Times New Roman" w:hAnsi="Times New Roman"/>
          <w:sz w:val="18"/>
          <w:szCs w:val="18"/>
          <w:color w:val="auto"/>
        </w:rPr>
        <w:t>Each of the Lenders hereby irrevocably appoints the Administrative Agent as its agent and authorizes the Administrative Agent to take such actions on its behalf and to exercise such powers as are delegated to the Administrative Agent by the terms hereof, together with such actions and powers as are reasonably incidental thereto.</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the Borrower or any Subsidiary or other Affiliate thereof as if it were not the Administrative Agent hereunder.</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Administrative Agent shall not have any duties or obligations except those expressly set forth herein.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hereby that the Administrative Agent is required to exercise in writing by the Required Lenders (or such other number or percentage of the Lenders as shall be necessary under the circumstances as provided in Section 9.02), (c) except as expressly set forth herein, the Administrative Agent shall not have any duty to disclose, and shall not be liable for the failure to disclose, any information relating to the Borrower or any of its Subsidiaries that is communicated to or obtained by the bank serving as Administrative Agent or any of its Affiliates in any capacity and (d) the Administrative Agent will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Federal, state or foreign bankruptcy, insolvency, receivership or similar law or that may effect a forfeiture, modification or termination of property of a Defaulting Lender in violation of any such law. The Administrative Agent shall not be liable to the Lenders for any action taken or not taken by it with the consent or at the request of the Required Lenders (or such other number or percentage of the Lenders as shall be necessary under the circumstances as provided in Section 9.02) or in the absence of its own gross negligence or willful misconduct. The Administrative Agent shall be deemed not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this Agreement, (ii) the contents of any certificate, report or other document delivered hereunder or in connection herewith, (iii) the performance or observance of any of the covenants, agreements or other terms or conditions set forth herein, (iv) the validity, enforceability, effectiveness or genuineness of this Agreement or any other agreement, instrument or document, or (v) the satisfaction of any condition set forth in Article IV or elsewhere herein, other than to confirm receipt of items expressly required to be delivered to the Administrative Agent.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80"/>
          </w:cols>
          <w:pgMar w:left="440" w:top="270" w:right="479" w:bottom="1440" w:gutter="0" w:footer="0" w:header="0"/>
        </w:sectPr>
      </w:pPr>
    </w:p>
    <w:bookmarkStart w:id="64" w:name="page65"/>
    <w:bookmarkEnd w:id="64"/>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 shall be entitled to rely upon, and shall not incur any liability for relying upon, any notice, request, certificate, consent, statement, instrument, document or other writing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Anything herein to the contrary notwithstanding, neither the Administrative Agent, the Co-Syndication Agents, the Co-Documentation Agents, the Joint Lead Arrangers nor the Joint Bookrunners listed on the cover page hereof shall have any powers, duties or responsibilities under this Agreement, the Notes or any documents related hereto or thereto, except in its capacity, as applicable, as Administrative Agent or a Lender hereunder.</w:t>
      </w:r>
    </w:p>
    <w:p>
      <w:pPr>
        <w:spacing w:after="0" w:line="19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Subject to the appointment and acceptance of a successor Administrative Agent as provided in this paragraph, the Administrative Agent may resign at any time by notifying the Lenders and the Borrower. Upon any such resignation, the Required Lenders shall have the right, with the Borrower’s approval (which will not be unreasonably withheld), to appoint another Lender as successor. If no successor shall have been so appointed by the Required Lenders and shall have accepted such appointment within 30 days after the retiring Administrative Agent gives notice of its resignation, then the retiring Administrative Agent may, with the Borrower’s approval (which will not be unreasonably withheld or delayed, and the Borrower’s approval shall not be required if an Event of Default has occurred which is continuing), on behalf of the Lenders, appoint a successor Administrative Agent which shall be a bank with an office in New York, New York, or an Affiliate of any such bank and such bank, or its Affiliate, as applicable, shall have capital and surplus equal to or greater than $500,000,000.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The fees payable by the Borrower to a successor Administrative Agent shall be the same as those payable to its predecessor unless otherwise agreed between the Borrower and such successor. After the Administrative Agent’s resignation hereunder, the provisions of this Article and Section 9.03 shall continue in effect for the benefit of such retiring Administrative Agent, its sub-agents and their respective Related Parties in respect of any actions taken or omitted to be taken by any of them while it was acting as Administrative Agent.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70" w:right="459" w:bottom="1440" w:gutter="0" w:footer="0" w:header="0"/>
        </w:sectPr>
      </w:pPr>
    </w:p>
    <w:bookmarkStart w:id="65" w:name="page66"/>
    <w:bookmarkEnd w:id="65"/>
    <w:p>
      <w:pPr>
        <w:ind w:right="60" w:firstLine="4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Lender acknowledges that it has, independently and without reliance upon the Administrative Agent or any other Lender and based on such documents and information as it has deemed appropriate, made its own credit analysis and decision to enter into this Agreement and is entering into this Agreement as a Lender for the purpose of making, acquiring, purchasing and/or holding the commercial loan set forth herein and not for the purpose of investing in the general performance or operations of EPD, the Borrower and their Subsidiaries or for the purpose of making, acquiring, purchasing or holding any other type of financial instrument such as a security. Each Lender also acknowledges that it will, independently and without reliance upon the Administrative Agent or any other Lender and based on such documents and information as it shall from time to time deem appropriate, continue to make its own decisions in taking or not taking action under or based upon this Agreement, any related agreement or any document furnished hereunder or thereunder and agrees that it will not assert any claim under any federal or state securities law or otherwise in contravention of this paragraph..</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Erroneous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2" w:lineRule="auto"/>
        <w:tabs>
          <w:tab w:leader="none" w:pos="68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Administrative Agent (x) notifies a Lender or any Person who has received funds on behalf of a Lender (any such Lender or other recipient (and each of their respective successors and assigns), a “</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that the Administrative Agent has determined in its sole discretion (whether or not after receipt of any notice under immediately succeeding clause (b))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or other Payment Recipient on its behalf) (any such funds, whether transmitted or received as a payment, prepayment or repayment of principal, interest, fees, distribution or otherwise, individually and collectively, an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and (y) demands in writing the return of such Erroneous Payment (or a portion thereof), such Erroneous Payment shall at all times remain the property of the Administrative Agent pending its return or repayment as contemplated below in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and held in trust for the benefit of the Administrative Agent, and such Lender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spacing w:after="0" w:line="193" w:lineRule="exact"/>
        <w:rPr>
          <w:rFonts w:ascii="Times New Roman" w:cs="Times New Roman" w:eastAsia="Times New Roman" w:hAnsi="Times New Roman"/>
          <w:sz w:val="18"/>
          <w:szCs w:val="18"/>
          <w:color w:val="auto"/>
        </w:rPr>
      </w:pPr>
    </w:p>
    <w:p>
      <w:pPr>
        <w:ind w:right="20" w:firstLine="436"/>
        <w:spacing w:after="0" w:line="261" w:lineRule="auto"/>
        <w:tabs>
          <w:tab w:leader="none" w:pos="69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immediately preceding clause (a), each Lender or any Person who has received funds on behalf of a Lender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70" w:right="459" w:bottom="1440" w:gutter="0" w:footer="0" w:header="0"/>
        </w:sectPr>
      </w:pPr>
    </w:p>
    <w:bookmarkStart w:id="66" w:name="page67"/>
    <w:bookmarkEnd w:id="66"/>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other such recipient, otherwise becomes aware was transmitted, or received, in error or by mistake (in whole or in part), then in each such case:</w:t>
      </w:r>
    </w:p>
    <w:p>
      <w:pPr>
        <w:spacing w:after="0" w:line="180" w:lineRule="exact"/>
        <w:rPr>
          <w:sz w:val="20"/>
          <w:szCs w:val="20"/>
          <w:color w:val="auto"/>
        </w:rPr>
      </w:pPr>
    </w:p>
    <w:p>
      <w:pPr>
        <w:jc w:val="both"/>
        <w:ind w:left="440" w:right="280" w:firstLine="419"/>
        <w:spacing w:after="0" w:line="266" w:lineRule="auto"/>
        <w:tabs>
          <w:tab w:leader="none" w:pos="107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acknowledges and agrees that (A) in the case of immediately preceding clauses (x) or (y), an error and mistake shall be presumed to have been made (absent written confirmation from the Administrative Agent to the contrary) or (B) an error and mistake has been made (in the case of immediately preceding clause (z)), in each case, with respect to such payment, prepayment or repayment; and</w:t>
      </w:r>
    </w:p>
    <w:p>
      <w:pPr>
        <w:spacing w:after="0" w:line="175"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12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shall (and shall cause any other recipient that receives funds on its respective behalf to)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18"/>
          <w:szCs w:val="18"/>
          <w:u w:val="single" w:color="auto"/>
          <w:color w:val="auto"/>
        </w:rPr>
        <w:t>Section 8.02(b)</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 xml:space="preserve">For the avoidance of doubt, the failure to deliver a notice to the Administrative Agent pursuant to this </w:t>
      </w:r>
      <w:r>
        <w:rPr>
          <w:rFonts w:ascii="Times New Roman" w:cs="Times New Roman" w:eastAsia="Times New Roman" w:hAnsi="Times New Roman"/>
          <w:sz w:val="18"/>
          <w:szCs w:val="18"/>
          <w:u w:val="single" w:color="auto"/>
          <w:color w:val="auto"/>
        </w:rPr>
        <w:t>Section 8.02(b)</w:t>
      </w:r>
      <w:r>
        <w:rPr>
          <w:rFonts w:ascii="Times New Roman" w:cs="Times New Roman" w:eastAsia="Times New Roman" w:hAnsi="Times New Roman"/>
          <w:sz w:val="18"/>
          <w:szCs w:val="18"/>
          <w:color w:val="auto"/>
        </w:rPr>
        <w:t xml:space="preserve"> shall not have any effect on a Payment Recipient’s obligations pursuant to </w:t>
      </w:r>
      <w:r>
        <w:rPr>
          <w:rFonts w:ascii="Times New Roman" w:cs="Times New Roman" w:eastAsia="Times New Roman" w:hAnsi="Times New Roman"/>
          <w:sz w:val="18"/>
          <w:szCs w:val="18"/>
          <w:u w:val="single" w:color="auto"/>
          <w:color w:val="auto"/>
        </w:rPr>
        <w:t>Section 8.02(a)</w:t>
      </w:r>
      <w:r>
        <w:rPr>
          <w:rFonts w:ascii="Times New Roman" w:cs="Times New Roman" w:eastAsia="Times New Roman" w:hAnsi="Times New Roman"/>
          <w:sz w:val="18"/>
          <w:szCs w:val="18"/>
          <w:color w:val="auto"/>
        </w:rPr>
        <w:t xml:space="preserve"> or on whether or not an Erroneous Payment has been made.</w:t>
      </w:r>
    </w:p>
    <w:p>
      <w:pPr>
        <w:spacing w:after="0" w:line="162" w:lineRule="exact"/>
        <w:rPr>
          <w:sz w:val="20"/>
          <w:szCs w:val="20"/>
          <w:color w:val="auto"/>
        </w:rPr>
      </w:pPr>
    </w:p>
    <w:p>
      <w:pPr>
        <w:ind w:right="60" w:firstLine="436"/>
        <w:spacing w:after="0" w:line="261" w:lineRule="auto"/>
        <w:tabs>
          <w:tab w:leader="none" w:pos="68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authorizes the Administrative Agent to set off, net and apply any and all amounts at any time owing to such Lender under any loan document, or otherwise payable or distributable by the Administrative Agent to such Lender under any loan document with respect to any payment of principal, interest, fees or other amounts, against any amount that the Administrative Agent has demanded to be returned under immediately preceding clause (a).</w:t>
      </w:r>
    </w:p>
    <w:p>
      <w:pPr>
        <w:spacing w:after="0" w:line="179" w:lineRule="exact"/>
        <w:rPr>
          <w:rFonts w:ascii="Times New Roman" w:cs="Times New Roman" w:eastAsia="Times New Roman" w:hAnsi="Times New Roman"/>
          <w:sz w:val="18"/>
          <w:szCs w:val="18"/>
          <w:color w:val="auto"/>
        </w:rPr>
      </w:pPr>
    </w:p>
    <w:p>
      <w:pPr>
        <w:ind w:left="440" w:hanging="4"/>
        <w:spacing w:after="0" w:line="253" w:lineRule="auto"/>
        <w:tabs>
          <w:tab w:leader="none" w:pos="69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 the event that an Erroneous Payment (or portion thereof) is not recovered by the Administrative Agent for any reason, after demand therefor in accordance with immediately preceding clause (a), from any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upon the Administrative Agent’s notice to such Lender at any time, then effective immediately (with the consideration therefor being acknowledged by the Payment Recipient), (A) such Lender shall be deemed to have assigned its Loans (but not its Commitments) with respect to which such Erroneous Payment was made (the “</w:t>
      </w:r>
      <w:r>
        <w:rPr>
          <w:rFonts w:ascii="Times New Roman" w:cs="Times New Roman" w:eastAsia="Times New Roman" w:hAnsi="Times New Roman"/>
          <w:sz w:val="18"/>
          <w:szCs w:val="18"/>
          <w:u w:val="single" w:color="auto"/>
          <w:color w:val="auto"/>
        </w:rPr>
        <w:t>Erroneous Payment Impacted Class</w:t>
      </w:r>
      <w:r>
        <w:rPr>
          <w:rFonts w:ascii="Times New Roman" w:cs="Times New Roman" w:eastAsia="Times New Roman" w:hAnsi="Times New Roman"/>
          <w:sz w:val="18"/>
          <w:szCs w:val="18"/>
          <w:color w:val="auto"/>
        </w:rPr>
        <w:t>”) in an amount equal to the Erroneous Payment Return Deficiency (or such lesser amount as the Administrative Agent may specify) (such assignment of the Loans (but not Commitments) of the Erroneous Payment Impacted Class, the “</w:t>
      </w: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(on a cashless basis and such amount calculated at par plus any accrued and unpaid interest (with the assignment fee to be waived by the Administrative Agent in such instance)), and is hereby (together with the Borrower) deemed to execute and deliver an Assignment and Assumption (or, to the extent applicable, an agreement incorporating an Assignment and Assumption by reference pursuant to a Platform as to which the Administrative Agent and such parties are participants) with respect to such</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70" w:right="459" w:bottom="1440" w:gutter="0" w:footer="0" w:header="0"/>
        </w:sectPr>
      </w:pPr>
    </w:p>
    <w:bookmarkStart w:id="67" w:name="page68"/>
    <w:bookmarkEnd w:id="67"/>
    <w:p>
      <w:pPr>
        <w:ind w:left="440"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Erroneous Payment Deficiency Assignment, and such Lender shall deliver any Notes evidencing such Loans to the Borrower or the Administrative Agent (but the failure of such Person to deliver any such Notes shall not affect the effectiveness of the foregoing assignment), (B) the Administrative Agent as the assignee Lender shall be deemed to have acquired the Erroneous Payment Deficiency Assignment, (C) upon such deemed acquisition, the Administrative Agent as the assignee Lender shall become a Lender, as applicable, hereunder with respect to such Erroneous Payment Deficiency Assignment and the assigning Lender shall cease to be a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(D) the Administrative Agent and the Borrower shall each be deemed to have waived any consents required under this Agreement to any such Erroneous Payment Deficiency Assignment, and (E) the Administrative Agent will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Agreement.</w:t>
      </w:r>
    </w:p>
    <w:p>
      <w:pPr>
        <w:spacing w:after="0" w:line="192" w:lineRule="exact"/>
        <w:rPr>
          <w:sz w:val="20"/>
          <w:szCs w:val="20"/>
          <w:color w:val="auto"/>
        </w:rPr>
      </w:pPr>
    </w:p>
    <w:p>
      <w:pPr>
        <w:ind w:left="440" w:right="80" w:firstLine="419"/>
        <w:spacing w:after="0" w:line="254" w:lineRule="auto"/>
        <w:tabs>
          <w:tab w:leader="none" w:pos="1128"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the Administrative Agent on or with respect to any such Loans acquired from such Lender pursuant to an Erroneous Payment Deficiency Assignment (to the extent that any such Loans are then owned by the Administrative Agent) and (y) may, in the sole discretion of the Administrative Agent, be reduced by any amount specified by the Administrative Agent in writing to the applicable Lender from time to time.</w:t>
      </w:r>
    </w:p>
    <w:p>
      <w:pPr>
        <w:spacing w:after="0" w:line="188" w:lineRule="exact"/>
        <w:rPr>
          <w:rFonts w:ascii="Times New Roman" w:cs="Times New Roman" w:eastAsia="Times New Roman" w:hAnsi="Times New Roman"/>
          <w:sz w:val="18"/>
          <w:szCs w:val="18"/>
          <w:color w:val="auto"/>
        </w:rPr>
      </w:pPr>
    </w:p>
    <w:p>
      <w:pPr>
        <w:ind w:firstLine="436"/>
        <w:spacing w:after="0" w:line="254" w:lineRule="auto"/>
        <w:tabs>
          <w:tab w:leader="none" w:pos="68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to the rights and interests of such Lender) under the loan documents with respect to such amount (the “</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xml:space="preserve">”) (provided that the Borrower’s and EPD’s obligations under the loan documents in respect of the Erroneous Payment Subrogation Rights shall not be duplicative of such obligations in respect of Loans that have been assigned to the Administrative Agent under an Erroneous Payment Deficiency Assignment) and (y) an Erroneous Payment shall not pay, prepay, repay, discharge or otherwise satisfy any obligations owed by the Borrower or EPD; provided that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shall not be interpreted to increase (or accelerate the due date for), or have the effect of increasing (or accelerating the due date for), the obligations of the Borrower relative to the amount (and/or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70" w:right="459" w:bottom="1440" w:gutter="0" w:footer="0" w:header="0"/>
        </w:sectPr>
      </w:pPr>
    </w:p>
    <w:bookmarkStart w:id="68" w:name="page69"/>
    <w:bookmarkEnd w:id="68"/>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timing for payment) of the obligations that would have been payable had such Erroneous Payment not been made by the Administrative Agent; provided, further, that for the avoidance of doubt, the immediately preceding clauses (x) and (y) shall not apply to the extent any such Erroneous Payment is, and solely with respect to the amount of such Erroneous Payment that is, comprised of funds received by the Administrative Agent from the Borrower for the purpose of making such Erroneous Payment.</w:t>
      </w:r>
    </w:p>
    <w:p>
      <w:pPr>
        <w:spacing w:after="0" w:line="180" w:lineRule="exact"/>
        <w:rPr>
          <w:sz w:val="20"/>
          <w:szCs w:val="20"/>
          <w:color w:val="auto"/>
        </w:rPr>
      </w:pPr>
    </w:p>
    <w:p>
      <w:pPr>
        <w:ind w:right="180" w:firstLine="436"/>
        <w:spacing w:after="0" w:line="261" w:lineRule="auto"/>
        <w:tabs>
          <w:tab w:leader="none" w:pos="66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179"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party’s obligations, agreements and waivers under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shall survive the resignation or replacement of the Administrative Agent, any transfer of rights or obligations by, or the replacement of, a Lender, the termination of the Commitments and/or the repayment, satisfaction or discharge of all obligations (or any portion thereof) under any loan document.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Except in the case of notices and other communications expressly permitted to be given by telephone, and except as provided in </w:t>
      </w:r>
      <w:r>
        <w:rPr>
          <w:rFonts w:ascii="Times New Roman" w:cs="Times New Roman" w:eastAsia="Times New Roman" w:hAnsi="Times New Roman"/>
          <w:sz w:val="18"/>
          <w:szCs w:val="18"/>
          <w:u w:val="single" w:color="auto"/>
          <w:color w:val="auto"/>
        </w:rPr>
        <w:t>Section 9.01(e)</w:t>
      </w:r>
      <w:r>
        <w:rPr>
          <w:rFonts w:ascii="Times New Roman" w:cs="Times New Roman" w:eastAsia="Times New Roman" w:hAnsi="Times New Roman"/>
          <w:sz w:val="18"/>
          <w:szCs w:val="18"/>
          <w:color w:val="auto"/>
        </w:rPr>
        <w:t>, all notices and other communications provided for herein shall be in writing and shall be delivered by hand or overnight courier service, mailed by certified or registered mail or sent by telecopy, as follows:</w:t>
      </w:r>
    </w:p>
    <w:p>
      <w:pPr>
        <w:spacing w:after="0" w:line="176" w:lineRule="exact"/>
        <w:rPr>
          <w:sz w:val="20"/>
          <w:szCs w:val="20"/>
          <w:color w:val="auto"/>
        </w:rPr>
      </w:pPr>
    </w:p>
    <w:p>
      <w:pPr>
        <w:ind w:left="680" w:hanging="244"/>
        <w:spacing w:after="0"/>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Borrower, to it at 1100 Louisiana Street,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Houston, Texas 77002, Attention of Treasurer (Telecopy No. 713/381-8200);</w:t>
      </w:r>
    </w:p>
    <w:p>
      <w:pPr>
        <w:spacing w:after="0" w:line="13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Administrative Agent, to Citibank, N.A. Delaware, 1615 Brett Road, OPS III, New Castle, DE 19720; Attn: Agency Operations,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Phone: (302) 894-6010, Fax: (646) 274-5080, Borrower inquiries: AgencyABTFSupport@citi.com, Borrower notices and notifications:</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usagencyservicing@citi.com, Disclosure Team Mail (Financial Reporting): namdisclosureunit@citi.com; with a copy to 811 Main St., Houston TX</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77002, Attention: Enterprise Products Account Officer; Telecopy: (713) 481-0247;</w:t>
      </w:r>
    </w:p>
    <w:p>
      <w:pPr>
        <w:spacing w:after="0" w:line="206"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380" w:firstLine="436"/>
        <w:spacing w:after="0" w:line="282" w:lineRule="auto"/>
        <w:tabs>
          <w:tab w:leader="none" w:pos="69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to it at its address (or telecopy number) of record with the Administrative Agent, which Administrative Agent shall provide to the Borrower or any Lender upon request from time to time;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70" w:right="459" w:bottom="1440" w:gutter="0" w:footer="0" w:header="0"/>
        </w:sectPr>
      </w:pPr>
    </w:p>
    <w:bookmarkStart w:id="69" w:name="page70"/>
    <w:bookmarkEnd w:id="69"/>
    <w:p>
      <w:pPr>
        <w:ind w:firstLine="436"/>
        <w:spacing w:after="0" w:line="251" w:lineRule="auto"/>
        <w:tabs>
          <w:tab w:leader="none" w:pos="68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Borrower will have the option to provide to the Administrative Agent all information, documents and other materials that it is obligated to furnish to the Administrative Agent pursuant to this Agreement or any other document executed in connection herewith, including, without limitation, all notices, requests, financial statements, financial and other reports, certificates and other information materials, but excluding any such communication that (i) relates to a request for a new, or a conversion of an existing, Borrowing or other extension of credit (including any election of an interest rate or Interest Period relating thereto), (ii) relates to the payment of any principal or other amount due under this Agreement prior to the scheduled date therefor, (iii) provides notice of any Default or Event of Default, or (iv) other than the requirements set forth in </w:t>
      </w:r>
      <w:r>
        <w:rPr>
          <w:rFonts w:ascii="Times New Roman" w:cs="Times New Roman" w:eastAsia="Times New Roman" w:hAnsi="Times New Roman"/>
          <w:sz w:val="18"/>
          <w:szCs w:val="18"/>
          <w:u w:val="single" w:color="auto"/>
          <w:color w:val="auto"/>
        </w:rPr>
        <w:t>Sections 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4.01(i)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5.01</w:t>
      </w:r>
      <w:r>
        <w:rPr>
          <w:rFonts w:ascii="Times New Roman" w:cs="Times New Roman" w:eastAsia="Times New Roman" w:hAnsi="Times New Roman"/>
          <w:sz w:val="18"/>
          <w:szCs w:val="18"/>
          <w:color w:val="auto"/>
        </w:rPr>
        <w:t>, is required to be delivered to satisfy any condition precedent to the effectiveness of this Agreement and/or any Borrowing or any other extension of credit hereunder (all such non-excluded communications being referred to herein collectively as “</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by transmitting the Communications in an electronic/soft medium in a format acceptable to the Administrative Agent. The Borrower further agrees that the Administrative Agent may make the Communications available to the Lenders by posting the Communications on DebtDomain, SyndTrak or a substantially similar electronic transmission system (the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xml:space="preserve">”). The Borrower acknowledges that the distribution of material through an electronic medium is not necessarily secure and that there are confidentiality and other risks associated with such distribution. </w:t>
      </w:r>
      <w:r>
        <w:rPr>
          <w:rFonts w:ascii="Times New Roman" w:cs="Times New Roman" w:eastAsia="Times New Roman" w:hAnsi="Times New Roman"/>
          <w:sz w:val="18"/>
          <w:szCs w:val="18"/>
          <w:b w:val="1"/>
          <w:bCs w:val="1"/>
          <w:u w:val="single" w:color="auto"/>
          <w:color w:val="auto"/>
        </w:rPr>
        <w:t>The Platform is provided “as is” and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available”. The Agent Parties (as defined below) do not warrant the accuracy or completeness of the Communications, or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 party rights or freedom from viruses or other code defects, is made by the Agent Parties in connection with the Communications or the Platform. In no event shall the Administrative Agent or any of its affiliates or any of their respective officers, directors, employees, agents, advisors or representatives (collectively, “Agent Parties”) have any liability to the Borrower, any Lender or any other Person or entity for damages of any kind, including, without limitation, direct or indirect, special, incidental or consequential damages, losses or expenses (whether in tort, contract or otherwise) arising out of the Borrower’s or the Administrative Agent’s transmission of Communications through the internet, except to the extent the liability of any Agent Party is found in a final non-appealable judgment by a court of competent jurisdiction to have resulted primarily from such Agent Party’s gross negligence or willful misconduct</w:t>
      </w:r>
      <w:r>
        <w:rPr>
          <w:rFonts w:ascii="Times New Roman" w:cs="Times New Roman" w:eastAsia="Times New Roman" w:hAnsi="Times New Roman"/>
          <w:sz w:val="18"/>
          <w:szCs w:val="18"/>
          <w:color w:val="auto"/>
        </w:rPr>
        <w:t>. The Administrative Agent agrees that the receipt of the Communications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Administrative Agent at its e-mail address as specified by the Administrative Agent from time to time shall constitute effective delivery of the Communications to the Administrative Agent for purposes of this Agreement and any other documents executed in connection herewith. Each of the Lenders agrees that notice to it (as provided in the next sentence) specifying that the Communications have been posted to the Platform shall constitute effective delivery of the Communications to such Lender for purposes of this Agreement and any other documents executed in connection herewith. Each of the Lenders agrees (i) to notify the Administrative Agent in writing (including by electronic communication) from time to time of such Lender’s e-mail address to which the foregoing notice may be sent by electronic transmission, and (ii) that the foregoing notice may be sent to such e-mail address. Nothing herein shall prejudice the right of the Administrative Agent or any Lender to give any notice or other communication pursuant hereto or any other document executed in connection herewith in any other manner specified herein or therein.</w:t>
      </w:r>
    </w:p>
    <w:p>
      <w:pPr>
        <w:spacing w:after="0" w:line="20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0"/>
          </w:cols>
          <w:pgMar w:left="440" w:top="270" w:right="459" w:bottom="1440" w:gutter="0" w:footer="0" w:header="0"/>
        </w:sectPr>
      </w:pPr>
    </w:p>
    <w:bookmarkStart w:id="70" w:name="page71"/>
    <w:bookmarkEnd w:id="70"/>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9.02. </w:t>
      </w:r>
      <w:r>
        <w:rPr>
          <w:rFonts w:ascii="Times New Roman" w:cs="Times New Roman" w:eastAsia="Times New Roman" w:hAnsi="Times New Roman"/>
          <w:sz w:val="18"/>
          <w:szCs w:val="18"/>
          <w:u w:val="single" w:color="auto"/>
          <w:color w:val="auto"/>
        </w:rPr>
        <w:t>Waivers; 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54" w:lineRule="auto"/>
        <w:tabs>
          <w:tab w:leader="none" w:pos="689"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by the Administrative Agent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and the Lenders hereunder are cumulative and are not exclusive of any rights or remedies that they would otherwise have. No waiver of any provision of this Agreement or consent to any departure by the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shall not be construed as a waiver of any Default, regardless of whether the Administrative Agent or any Lender may have had notice or knowledge of such Default at the time.</w:t>
      </w:r>
    </w:p>
    <w:p>
      <w:pPr>
        <w:spacing w:after="0" w:line="191" w:lineRule="exact"/>
        <w:rPr>
          <w:rFonts w:ascii="Times New Roman" w:cs="Times New Roman" w:eastAsia="Times New Roman" w:hAnsi="Times New Roman"/>
          <w:sz w:val="18"/>
          <w:szCs w:val="18"/>
          <w:color w:val="auto"/>
        </w:rPr>
      </w:pPr>
    </w:p>
    <w:p>
      <w:pPr>
        <w:jc w:val="both"/>
        <w:ind w:left="4" w:right="420" w:firstLine="436"/>
        <w:spacing w:after="0" w:line="272" w:lineRule="auto"/>
        <w:tabs>
          <w:tab w:leader="none" w:pos="699"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no such agreement shall (i) increase or extend the Commitment of any Lender without the written consent of such Lender,</w:t>
      </w:r>
    </w:p>
    <w:p>
      <w:pPr>
        <w:spacing w:after="0" w:line="1" w:lineRule="exact"/>
        <w:rPr>
          <w:rFonts w:ascii="Times New Roman" w:cs="Times New Roman" w:eastAsia="Times New Roman" w:hAnsi="Times New Roman"/>
          <w:sz w:val="17"/>
          <w:szCs w:val="17"/>
          <w:color w:val="auto"/>
        </w:rPr>
      </w:pPr>
    </w:p>
    <w:p>
      <w:pPr>
        <w:ind w:left="4" w:hanging="4"/>
        <w:spacing w:after="0" w:line="251" w:lineRule="auto"/>
        <w:tabs>
          <w:tab w:leader="none" w:pos="26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principal amount of any Loan or reduce the rate of interest thereon, or reduce any fees payable hereunder, without the written consent of each Lender affected thereby, (iii) postpone the scheduled date of payment of the principal amount of any Loan or any interest thereon, or any fees payable hereunder, or reduce the amount of, waive or excuse any such payment, or postpone the scheduled date of expiration of any Commitment, without the written consent of each Lender affected thereby, (iv) change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in a manner that would alter the pro rata sharing of payments required thereby, without the written consent of each Lender, (v) release EPD from any of its monetary obligations under the EPD Guaranty Agreement without the written consent of each Lender, or (vi) change any of the provisions of this Section or the definition of “Required Lenders” or any other provision hereof specifying the number or percentage of Lenders required to waive, amend or modify any rights hereunder or make any determination or grant any consent hereunder, without the written consent of each Lender;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such agreement shall amend, modify or otherwise affect the rights or duties of the Administrative Agent hereunder without the prior written consent of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(x) the Administrative Agent and the Borrower shall be permitted to amend any provision hereof (and such amendment shall become effective without any further action or consent of any other party hereto) if the Administrative Agent and the Borrower shall have jointly identified an obvious error or any error, ambiguity, defect or inconsistency or omission of a technical or immaterial nature in any such provision and (y) the Administrative Agent (and, if applicable, the Borrower) may, without the consent of any Lender, enter into amendments or modifications to this Agreement or any of the other loan documents or enter into additional loan documents as the Administrative Agent reasonably deems appropriate in order to implement any Benchmark Replacement or any Conforming Changes or otherwise effectuate the terms of </w:t>
      </w:r>
      <w:r>
        <w:rPr>
          <w:rFonts w:ascii="Times New Roman" w:cs="Times New Roman" w:eastAsia="Times New Roman" w:hAnsi="Times New Roman"/>
          <w:sz w:val="18"/>
          <w:szCs w:val="18"/>
          <w:u w:val="single" w:color="auto"/>
          <w:color w:val="auto"/>
        </w:rPr>
        <w:t>Section 2.14(c)</w:t>
      </w:r>
      <w:r>
        <w:rPr>
          <w:rFonts w:ascii="Times New Roman" w:cs="Times New Roman" w:eastAsia="Times New Roman" w:hAnsi="Times New Roman"/>
          <w:sz w:val="18"/>
          <w:szCs w:val="18"/>
          <w:color w:val="auto"/>
        </w:rPr>
        <w:t xml:space="preserve"> (subject to any requirement of Administrative Agent to consult with Borrower that is expressly provided therein) in accordance with the terms thereof. Anything herein to the contrary notwithstanding, during such period as a Lender is a Defaulting Lender, to the fullest extent permitted by applicable law, such Lender will not be entitled to vote</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4"/>
          </w:cols>
          <w:pgMar w:left="436" w:top="270" w:right="459" w:bottom="1440" w:gutter="0" w:footer="0" w:header="0"/>
        </w:sectPr>
      </w:pPr>
    </w:p>
    <w:bookmarkStart w:id="71" w:name="page72"/>
    <w:bookmarkEnd w:id="71"/>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respect of amendments and waivers hereunder and the Commitment and the outstanding Loans or other extensions of credit of such Lender hereunder will not be taken into account in determining whether the Required Lenders or all of the Lenders, as required, have approved any such amendment or waiver (and the definition of “Required Lenders” will automatically be deemed modified accordingly for the duration of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amendment or waiver that would increase or extend the term of the Commitment of such Defaulting Lender, extend the date fixed for the payment of principal or interest owing to such Defaulting Lender hereunder, reduce the principal amount of any obligation owing to such Defaulting Lender, reduce the amount of or the rate or amount of interest on any amount owing to such Defaulting Lender or of any fee payable to such Defaulting Lender hereunder, or alter the terms of this proviso, will require the consent of such Defaulting Lender.</w:t>
      </w:r>
    </w:p>
    <w:p>
      <w:pPr>
        <w:spacing w:after="0" w:line="189"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Expenses; Indemnity; Damage Waiver</w:t>
      </w:r>
      <w:r>
        <w:rPr>
          <w:rFonts w:ascii="Times New Roman" w:cs="Times New Roman" w:eastAsia="Times New Roman" w:hAnsi="Times New Roman"/>
          <w:sz w:val="18"/>
          <w:szCs w:val="18"/>
          <w:color w:val="auto"/>
        </w:rPr>
        <w:t>. (a) The Borrower shall pay (i) all reasonable out-of-pocket expenses incurred by the Administrative Agent and its Affiliates, including the reasonable fees, charges and disbursements of one law firm as counsel for the Administrative Agent, in connection with the syndication (prior to the Effective Date) of the credit facilities provided for herein, the preparation and administration of this Agreement or any amendments, modifications or waivers of the provisions hereof (whether or not the transactions contemplated hereby or thereby shall be consummated), and (ii) all out-of-pocket expenses reasonably incurred during the existence of an Event of Default by the Administrative Agent or any Lender, including the fees, charges and disbursements of any counsel for the Administrative Agent or any Lender, in connection with the enforcement or protection of its rights in connection with this Agreement, including its rights under this Section, or in connection with the Loans made hereunder, including all such out-of-pocket expenses incurred during any workout, restructuring or negotiations in respect of such Loans.</w:t>
      </w:r>
    </w:p>
    <w:p>
      <w:pPr>
        <w:spacing w:after="0" w:line="192" w:lineRule="exact"/>
        <w:rPr>
          <w:sz w:val="20"/>
          <w:szCs w:val="20"/>
          <w:color w:val="auto"/>
        </w:rPr>
      </w:pPr>
    </w:p>
    <w:p>
      <w:pPr>
        <w:ind w:firstLine="436"/>
        <w:spacing w:after="0" w:line="253" w:lineRule="auto"/>
        <w:tabs>
          <w:tab w:leader="none" w:pos="6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indemnify the Administrative Agent and each Lender, and each Related Party of any of the foregoing Persons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against, and hold each Indemnitee harmless from, any and all losses, claims, damages, liabilities and related expenses, including the fees, charges and disbursements of any counsel for any Indemnitee, incurred by or asserted against any Indemnitee arising out of, in connection with, or as a result of (i) the execution or delivery of this Agreement or any agreement or instrument contemplated hereby, the performance by the parties hereto of their respective obligations hereunder or the consummation of the Transactions or any other transactions contemplated hereby, (ii) any Loan or the use of the proceeds therefrom, (iii) any actual or alleged presence or release of Hazardous Materials on or from any property owned or operated by the Borrower or any of its Subsidiaries, or any Environmental Liability related in any way to the Borrower or any of its Subsidiaries, or (iv) any actual or prospective claim, litigation, investigation or proceeding relating to any of the foregoing, whether based on contract, tort or any other theory and regardless of whether any Indemnitee is a party thereto;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such indemnity shall not, as to any Indemnitee, be available (x) to the extent that such losses, claims, damages, liabilities or related expenses resulted from the gross negligence or willful misconduct of such Indemnitee or any Related Party of such Indemnitee, or (y) in connection with disputes among or between the Administrative Agent, Lenders and/or their respective Related Parties.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440" w:top="270" w:right="459" w:bottom="1440" w:gutter="0" w:footer="0" w:header="0"/>
        </w:sectPr>
      </w:pPr>
    </w:p>
    <w:bookmarkStart w:id="72" w:name="page73"/>
    <w:bookmarkEnd w:id="72"/>
    <w:p>
      <w:pPr>
        <w:ind w:right="80" w:firstLine="436"/>
        <w:spacing w:after="0" w:line="281" w:lineRule="auto"/>
        <w:tabs>
          <w:tab w:leader="none" w:pos="685"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the extent that the Borrower fails to pay any amount required to be paid by it to the Administrative Agent under paragraph (a) or (b) of this Section, each Lender severally agrees to pay to the Administrative Agent, such Lender’s Applicable Percentage (determined as of the time that the applicable unreimbursed expense or indemnity payment is sought) of such unpaid amount;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the unreimbursed expense or indemnified loss, claim, damage, liability or related expense, as the case may be, was incurred by or asserted against the Administrative Agent in its capacity as such.</w:t>
      </w:r>
    </w:p>
    <w:p>
      <w:pPr>
        <w:spacing w:after="0" w:line="164" w:lineRule="exact"/>
        <w:rPr>
          <w:rFonts w:ascii="Times New Roman" w:cs="Times New Roman" w:eastAsia="Times New Roman" w:hAnsi="Times New Roman"/>
          <w:sz w:val="17"/>
          <w:szCs w:val="17"/>
          <w:color w:val="auto"/>
        </w:rPr>
      </w:pPr>
    </w:p>
    <w:p>
      <w:pPr>
        <w:ind w:right="160" w:firstLine="436"/>
        <w:spacing w:after="0" w:line="266" w:lineRule="auto"/>
        <w:tabs>
          <w:tab w:leader="none" w:pos="69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the Borrower shall not assert, and hereby waives, any claim against any Indemnitee, on any theory of liability, for indirect, special, consequential or punitive damages (as opposed to direct or actual damages) arising out of, in connection with, or as a result of, this Agreement or any agreement or instrument contemplated hereby, the Transactions, any Loan or the use of the proceeds thereof.</w:t>
      </w:r>
    </w:p>
    <w:p>
      <w:pPr>
        <w:spacing w:after="0" w:line="175" w:lineRule="exact"/>
        <w:rPr>
          <w:rFonts w:ascii="Times New Roman" w:cs="Times New Roman" w:eastAsia="Times New Roman" w:hAnsi="Times New Roman"/>
          <w:sz w:val="18"/>
          <w:szCs w:val="18"/>
          <w:color w:val="auto"/>
        </w:rPr>
      </w:pPr>
    </w:p>
    <w:p>
      <w:pPr>
        <w:ind w:right="400" w:firstLine="436"/>
        <w:spacing w:after="0" w:line="282" w:lineRule="auto"/>
        <w:tabs>
          <w:tab w:leader="none" w:pos="68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due under this Section shall be payable not later than 30 days after written demand therefor, such demand to be in reasonable detail setting forth the basis for and method of calculation of such amounts.</w:t>
      </w:r>
    </w:p>
    <w:p>
      <w:pPr>
        <w:spacing w:after="0" w:line="162"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(a)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each Lender (and any attempted assignment or transfer by the Borrower without such consent shall be null and void). Nothing in this Agreement, expressed or implied, shall be construed to confer upon any Person (other than the parties hereto, their respective successors and assigns permitted hereby and, to the extent expressly contemplated hereby, the Related Parties of each of the Administrative Agent and the Lenders) any legal or equitable right, remedy or claim under or by reason of this Agreement.</w:t>
      </w:r>
    </w:p>
    <w:p>
      <w:pPr>
        <w:spacing w:after="0" w:line="187" w:lineRule="exact"/>
        <w:rPr>
          <w:sz w:val="20"/>
          <w:szCs w:val="20"/>
          <w:color w:val="auto"/>
        </w:rPr>
      </w:pPr>
    </w:p>
    <w:p>
      <w:pPr>
        <w:ind w:firstLine="436"/>
        <w:spacing w:after="0" w:line="252" w:lineRule="auto"/>
        <w:tabs>
          <w:tab w:leader="none" w:pos="69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assign to one or more assignees (other than the Borrower, EPD, any of their Affiliates or a Defaulting Lender or any of their respective subsidiaries, or any Person who, upon becoming a Lender hereunder, would constitute any of the foregoing Persons described in this parenthetical) all or a portion of its rights and obligations under this Agreement (including all or a portion of its Commitment and the Loans at the time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except in the case of an assignment to a Lender or an Affiliate of a Lender (or a lender or an affiliate of a lender under the Multi-Year Credit Facility), each of the Borrower and the Administrative Agent must give their prior written consent to such assignment (which consent shall not be unreasonably withheld or delayed), (ii) except in the case of an assignment to a Lender or an Affiliate of a Lender or an assignment of the entire remaining amount of the assigning Lender’s Commitment, the amount of the Commitment of the assigning Lender subject to each such assignment (determined as of the date the Assignment and Assumption with respect to such assignment is delivered to the Administrative Agent) shall not be less than $5,000,000 unless each of the Borrower and the Administrative Agent otherwise consent, (iii) each partial assignment shall result in the assignor retaining a Commitment of not less than $10,000,000 and shall be made as an assignment of a proportionate part of all the assigning Lender’s rights and obligations under this Agreement, (iv) the parties (other than the Borrower) to each assignment shall execute and deliver to the Administrative Agent an Assignment and Assumption, together with a processing and recordation fee of $3,500 (such fee waivable at Administrative Agent’s sole discretion) , (v) the assignee, if it shall not be a Lender, shall deliver to the Administrative Agent an Administrative Questionnaire and (vi) no assignment to a foreign bank shall be made hereunder unless, at the time of such assignment, there is no withholding tax applicable with</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0"/>
          </w:cols>
          <w:pgMar w:left="440" w:top="270" w:right="459" w:bottom="1440" w:gutter="0" w:footer="0" w:header="0"/>
        </w:sectPr>
      </w:pPr>
    </w:p>
    <w:bookmarkStart w:id="73" w:name="page74"/>
    <w:bookmarkEnd w:id="73"/>
    <w:p>
      <w:pPr>
        <w:ind w:left="4"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respect to such foreign bank for which the Borrower would be or become responsible under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consent of the Borrower otherwise required under this paragraph shall not be required if an Event of Default has occurred and is continuing. Subject to acceptance and recording thereof pursuant to paragraph (d)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xml:space="preserve"> as to matters occurring on or prior to date of assignment). Any assignment or transfer by a Lender of rights or obligations under this Agreement that does not comply with this paragraph shall be treated for purposes of this Agreement as a sale by such Lender of a participation in such rights and obligations in accordance with paragraph (e) of this Section.</w:t>
      </w:r>
    </w:p>
    <w:p>
      <w:pPr>
        <w:spacing w:after="0" w:line="194" w:lineRule="exact"/>
        <w:rPr>
          <w:sz w:val="20"/>
          <w:szCs w:val="20"/>
          <w:color w:val="auto"/>
        </w:rPr>
      </w:pPr>
    </w:p>
    <w:p>
      <w:pPr>
        <w:ind w:left="4" w:firstLine="436"/>
        <w:spacing w:after="0" w:line="254" w:lineRule="auto"/>
        <w:tabs>
          <w:tab w:leader="none" w:pos="689"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acting for this purpose as an agent of the Borrower, shall maintain at one of its offices in The City of New York, the address of which shall be made available to any party to this Agreement upon request: a copy of each Assignment and Assumption delivered to it and a register for the recordation of the names and addresses of the Lenders, and the Commitment of, and principal amount of the Loans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absent manifest error, and the Borrower, the Administrative Agent and the Lenders may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the Borrower and any Lender, at any reasonable time and from time to time upon reasonable prior notice.</w:t>
      </w:r>
    </w:p>
    <w:p>
      <w:pPr>
        <w:spacing w:after="0" w:line="191" w:lineRule="exact"/>
        <w:rPr>
          <w:rFonts w:ascii="Times New Roman" w:cs="Times New Roman" w:eastAsia="Times New Roman" w:hAnsi="Times New Roman"/>
          <w:sz w:val="18"/>
          <w:szCs w:val="18"/>
          <w:color w:val="auto"/>
        </w:rPr>
      </w:pPr>
    </w:p>
    <w:p>
      <w:pPr>
        <w:ind w:left="4" w:right="80" w:firstLine="436"/>
        <w:spacing w:after="0" w:line="258" w:lineRule="auto"/>
        <w:tabs>
          <w:tab w:leader="none" w:pos="699"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83" w:lineRule="exact"/>
        <w:rPr>
          <w:rFonts w:ascii="Times New Roman" w:cs="Times New Roman" w:eastAsia="Times New Roman" w:hAnsi="Times New Roman"/>
          <w:sz w:val="18"/>
          <w:szCs w:val="18"/>
          <w:color w:val="auto"/>
        </w:rPr>
      </w:pPr>
    </w:p>
    <w:p>
      <w:pPr>
        <w:ind w:left="4" w:right="180" w:firstLine="436"/>
        <w:spacing w:after="0" w:line="272" w:lineRule="auto"/>
        <w:tabs>
          <w:tab w:leader="none" w:pos="689"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Lender may, without the consent of the Borrower or the Administrative Agent, sell participations to one or more banks or other entities, other than a Defaulting Lender (a “</w:t>
      </w:r>
      <w:r>
        <w:rPr>
          <w:rFonts w:ascii="Times New Roman" w:cs="Times New Roman" w:eastAsia="Times New Roman" w:hAnsi="Times New Roman"/>
          <w:sz w:val="17"/>
          <w:szCs w:val="17"/>
          <w:u w:val="single" w:color="auto"/>
          <w:color w:val="auto"/>
        </w:rPr>
        <w:t>Participant</w:t>
      </w:r>
      <w:r>
        <w:rPr>
          <w:rFonts w:ascii="Times New Roman" w:cs="Times New Roman" w:eastAsia="Times New Roman" w:hAnsi="Times New Roman"/>
          <w:sz w:val="17"/>
          <w:szCs w:val="17"/>
          <w:color w:val="auto"/>
        </w:rPr>
        <w:t xml:space="preserve">”) in all or a portion of such Lender’s rights and obligations under this Agreement (including all or a portion of its Commitment and the Loans owing to it);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(i) such Lender’s obligations under this Agreement shall remain unchanged,</w:t>
      </w:r>
    </w:p>
    <w:p>
      <w:pPr>
        <w:spacing w:after="0" w:line="1" w:lineRule="exact"/>
        <w:rPr>
          <w:rFonts w:ascii="Times New Roman" w:cs="Times New Roman" w:eastAsia="Times New Roman" w:hAnsi="Times New Roman"/>
          <w:sz w:val="17"/>
          <w:szCs w:val="17"/>
          <w:color w:val="auto"/>
        </w:rPr>
      </w:pPr>
    </w:p>
    <w:p>
      <w:pPr>
        <w:ind w:left="4" w:right="360" w:hanging="4"/>
        <w:spacing w:after="0" w:line="255" w:lineRule="auto"/>
        <w:tabs>
          <w:tab w:leader="none" w:pos="26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shall remain solely responsible to the other parties hereto for the performance of such obligations and (iii) the Borrower, the Administrative Agent and the other Lenders shall continue to deal solely and directly with such Lender in connection with such Lender’s rights and obligations under this</w:t>
      </w:r>
    </w:p>
    <w:p>
      <w:pPr>
        <w:spacing w:after="0" w:line="11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84"/>
          </w:cols>
          <w:pgMar w:left="436" w:top="270" w:right="479" w:bottom="1440" w:gutter="0" w:footer="0" w:header="0"/>
        </w:sectPr>
      </w:pPr>
    </w:p>
    <w:bookmarkStart w:id="74" w:name="page75"/>
    <w:bookmarkEnd w:id="74"/>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such agreement or instrument may provide that such Lender will not, without the consent of the Participant, agree to any amendment, modification or waiver described in the first proviso to </w:t>
      </w:r>
      <w:r>
        <w:rPr>
          <w:rFonts w:ascii="Times New Roman" w:cs="Times New Roman" w:eastAsia="Times New Roman" w:hAnsi="Times New Roman"/>
          <w:sz w:val="18"/>
          <w:szCs w:val="18"/>
          <w:u w:val="single" w:color="auto"/>
          <w:color w:val="auto"/>
        </w:rPr>
        <w:t>Section 9.02(b)</w:t>
      </w:r>
      <w:r>
        <w:rPr>
          <w:rFonts w:ascii="Times New Roman" w:cs="Times New Roman" w:eastAsia="Times New Roman" w:hAnsi="Times New Roman"/>
          <w:sz w:val="18"/>
          <w:szCs w:val="18"/>
          <w:color w:val="auto"/>
        </w:rPr>
        <w:t xml:space="preserve"> that affects such Participant.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7" w:lineRule="exact"/>
        <w:rPr>
          <w:sz w:val="20"/>
          <w:szCs w:val="20"/>
          <w:color w:val="auto"/>
        </w:rPr>
      </w:pPr>
    </w:p>
    <w:p>
      <w:pPr>
        <w:ind w:right="120" w:firstLine="436"/>
        <w:spacing w:after="0" w:line="258" w:lineRule="auto"/>
        <w:tabs>
          <w:tab w:leader="none" w:pos="66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Participant shall not be entitled to receive any greater payment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unless the Borrower is notified of the participation sold to such Participant and such Participant agrees, for the benefit of the Borrower, to comply with </w:t>
      </w:r>
      <w:r>
        <w:rPr>
          <w:rFonts w:ascii="Times New Roman" w:cs="Times New Roman" w:eastAsia="Times New Roman" w:hAnsi="Times New Roman"/>
          <w:sz w:val="18"/>
          <w:szCs w:val="18"/>
          <w:u w:val="single" w:color="auto"/>
          <w:color w:val="auto"/>
        </w:rPr>
        <w:t>Section 2.17(e)</w:t>
      </w:r>
      <w:r>
        <w:rPr>
          <w:rFonts w:ascii="Times New Roman" w:cs="Times New Roman" w:eastAsia="Times New Roman" w:hAnsi="Times New Roman"/>
          <w:sz w:val="18"/>
          <w:szCs w:val="18"/>
          <w:color w:val="auto"/>
        </w:rPr>
        <w:t xml:space="preserve"> as though it were a Lender and has zero withholding at the time of participation.</w:t>
      </w:r>
    </w:p>
    <w:p>
      <w:pPr>
        <w:spacing w:after="0" w:line="183"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at any time pledge or assign a security interest in all or any portion of its rights under this Agreement to secure obligations of such Lender to a Federal Reserve Bank or any central bank having jurisdiction over such Lender, and this Section shall not apply to any such pledge or assignment of a security interest;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no such pledge or assignment of a security interest shall release a Lender from any of its obligations hereunder or substitute any such pledgee or assignee for such Lender as a party hereto.</w:t>
      </w:r>
    </w:p>
    <w:p>
      <w:pPr>
        <w:spacing w:after="0" w:line="179" w:lineRule="exact"/>
        <w:rPr>
          <w:rFonts w:ascii="Times New Roman" w:cs="Times New Roman" w:eastAsia="Times New Roman" w:hAnsi="Times New Roman"/>
          <w:sz w:val="18"/>
          <w:szCs w:val="18"/>
          <w:color w:val="auto"/>
        </w:rPr>
      </w:pPr>
    </w:p>
    <w:p>
      <w:pPr>
        <w:ind w:right="100" w:firstLine="436"/>
        <w:spacing w:after="0" w:line="273" w:lineRule="auto"/>
        <w:tabs>
          <w:tab w:leader="none" w:pos="695"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connection with any assignment of rights and obligations of any Defaulting Lender hereunder, no such assignment will be effective unless and until, in addition to the other conditions thereto set forth herein, the parties to the assignment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share of Loans previously requested but not funded by the Defaulting Lender, to each of which the applicable assignee and assignor hereby irrevocably consent), to (x) pay and satisfy in full all payment liabilities then owed by such Defaulting Lender to the Administrative Agent and each other Lender hereunder (and interest accrued thereon), and (y) acquire (and fund as appropriate) its full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share of</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60"/>
          </w:cols>
          <w:pgMar w:left="440" w:top="270" w:right="499" w:bottom="1440" w:gutter="0" w:footer="0" w:header="0"/>
        </w:sectPr>
      </w:pPr>
    </w:p>
    <w:bookmarkStart w:id="75" w:name="page76"/>
    <w:bookmarkEnd w:id="75"/>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Loans in accordance with its Applicable Percentage. Notwithstanding the foregoing, in the event that any assignment of rights and obligations of any Defaulting Lender hereunder becomes effective under applicable law without compliance with the provisions of this paragraph, then the assignee of such interest will be deemed to be a Defaulting Lender for all purposes of this Agreement until such compliance occurs.</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regardless of any investigation made by any such other party or on its behalf and notwithstanding that the Administrative Agent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and so long as the Commitments have not expired or terminated. The provisions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survive and remain in full force and effect regardless of the consummation of the transactions contemplated hereby, the resignation or replacement of the Administrative Agent or any assignment of rights by, or the replacement of, a Lender, the repayment of the Loans, the expiration or termination of the Commitments or the termination of this Agreement or any provision hereof.</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Counterparts; Integration; Effectiveness; Electronic Execution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55" w:lineRule="auto"/>
        <w:tabs>
          <w:tab w:leader="none" w:pos="68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Integration; Effectiveness</w:t>
      </w:r>
      <w:r>
        <w:rPr>
          <w:rFonts w:ascii="Times New Roman" w:cs="Times New Roman" w:eastAsia="Times New Roman" w:hAnsi="Times New Roman"/>
          <w:sz w:val="18"/>
          <w:szCs w:val="18"/>
          <w:color w:val="auto"/>
        </w:rPr>
        <w:t>. This Agreement may be executed in counterparts (and by different parties hereto on different counterparts), each of which shall constitute an original, but all of which when taken together shall constitute a single contract. This Agreement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This Agreement shall become effective on the Effective Date, and thereafter shall be binding upon and inure to the benefit of the parties hereto and their respective successors and assigns. Delivery of an executed counterpart of a signature page of this Agreement by telecopy shall be effective as delivery of a manually executed counterpart of this Agreement.</w:t>
      </w:r>
    </w:p>
    <w:p>
      <w:pPr>
        <w:spacing w:after="0" w:line="188" w:lineRule="exact"/>
        <w:rPr>
          <w:rFonts w:ascii="Times New Roman" w:cs="Times New Roman" w:eastAsia="Times New Roman" w:hAnsi="Times New Roman"/>
          <w:sz w:val="18"/>
          <w:szCs w:val="18"/>
          <w:color w:val="auto"/>
        </w:rPr>
      </w:pPr>
    </w:p>
    <w:p>
      <w:pPr>
        <w:ind w:right="20" w:firstLine="436"/>
        <w:spacing w:after="0" w:line="254" w:lineRule="auto"/>
        <w:tabs>
          <w:tab w:leader="none" w:pos="69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Execution</w:t>
      </w:r>
      <w:r>
        <w:rPr>
          <w:rFonts w:ascii="Times New Roman" w:cs="Times New Roman" w:eastAsia="Times New Roman" w:hAnsi="Times New Roman"/>
          <w:sz w:val="18"/>
          <w:szCs w:val="18"/>
          <w:color w:val="auto"/>
        </w:rPr>
        <w:t>. The words “execute,” “execution,” “signed,” “signature,” “delivery” and words of like import in or related to this Agreement, any other loan document or any document, amendment, approval, consent, waiver, modification, information, notice, certificate, report, statement, disclosure, or authorization to be signed or delivered in connection with this Agreement or any other loan document or the transactions contemplated hereby shall be deemed to include Electronic Signatures or execution in the form of an Electronic Record, and contract formations on electronic platforms approved by the Administrative Agent, deliveries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Each party hereto agrees that any Electronic Signature or execution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0"/>
          </w:cols>
          <w:pgMar w:left="440" w:top="270" w:right="459" w:bottom="1440" w:gutter="0" w:footer="0" w:header="0"/>
        </w:sectPr>
      </w:pPr>
    </w:p>
    <w:bookmarkStart w:id="76" w:name="page77"/>
    <w:bookmarkEnd w:id="7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form of an Electronic Record shall be valid and binding on itself and each of the other parties hereto to the same extent as a manual, original signature. For the avoidance of doubt, the authorization under this paragraph may include, without limitation, use or acceptance by the parties of a manually signed paper which has been converted into electronic form (such as scanned into PDF format), or an electronically signed paper converted into another format, for transmission, delivery and/or retention. Notwithstanding anything contained herein to the contrary, the Administrative Agent is under no obligation to accept an Electronic Signature in any form or in any format unless expressly agreed to by the Administrative Agent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without limiting the foregoing, (i) to the extent the Administrative Agent has agreed to accept such Electronic Signature from any party hereto, the Administrative Agent and the other parties hereto shall be entitled to rely on any such Electronic Signature purportedly given by or on behalf of the executing party without further verification and (ii) upon the request of the Administrative Agent or any Lender, any Electronic Signature shall be promptly followed by an original manually executed counterpart thereof. Without limiting the generality of the foregoing, each party hereto hereby (A) agrees that, for all purposes, including without limitation, in connection with any workout, restructuring, enforcement of remedies, bankruptcy proceedings or litigation among the Administrative Agent, the Lenders, the Borrower and EPD, electronic images of this Agreement or any other loan document (in each case, including with respect to any signature pages thereto) shall have the same legal effect, validity and enforceability as any paper original, and (B) waives any argument, defense or right to contest the validity or enforceability of the loan documents based solely on the lack of paper original copies of any loan documents, including with respect to any signature pages thereto.</w:t>
      </w:r>
    </w:p>
    <w:p>
      <w:pPr>
        <w:spacing w:after="0" w:line="197"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Without limiting the foregoing provisions of this Section, if and to the extent that the enforceability of any provisions in this Agreement relating to Defaulting Lenders shall be limited by bankruptcy, insolvency, receivership or similar law, as determined in good faith by the Administrative Agent, then such provisions shall be deemed to be in effect only to the extent not so limited.</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xml:space="preserve">. If an Event of Default shall have occurred and be continuing and acceleration of the Loans shall have occurred under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any Defaulting Lender exercises any such right of setoff, (x) all amounts so set off will be paid over immediately to the Administrative Agent for further application in accordance with the provisions of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and, pending such payment, will be segregated by such Defaulting Lender from its other funds and deemed held in trust for the benefit of the Administrative Agent and the Lenders and (y) the Defaulting Lender will provide promptly to the Administrative Agent a statement describing in reasonable detail the obligations under this Agreement owing to such Defaulting Lender as to which it exercised such right of setoff. The rights of each Lender under this Section are in addition to other rights and remedies (including other rights of setoff) which such Lender may have.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0"/>
          </w:cols>
          <w:pgMar w:left="440" w:top="270" w:right="459" w:bottom="1440" w:gutter="0" w:footer="0" w:header="0"/>
        </w:sectPr>
      </w:pPr>
    </w:p>
    <w:bookmarkStart w:id="77" w:name="page78"/>
    <w:bookmarkEnd w:id="77"/>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9.09. </w:t>
      </w:r>
      <w:r>
        <w:rPr>
          <w:rFonts w:ascii="Times New Roman" w:cs="Times New Roman" w:eastAsia="Times New Roman" w:hAnsi="Times New Roman"/>
          <w:sz w:val="18"/>
          <w:szCs w:val="18"/>
          <w:u w:val="single" w:color="auto"/>
          <w:color w:val="auto"/>
        </w:rPr>
        <w:t>Governing Law; Jurisdiction; Consent to Service of Process</w:t>
      </w:r>
      <w:r>
        <w:rPr>
          <w:rFonts w:ascii="Times New Roman" w:cs="Times New Roman" w:eastAsia="Times New Roman" w:hAnsi="Times New Roman"/>
          <w:sz w:val="18"/>
          <w:szCs w:val="18"/>
          <w:color w:val="auto"/>
        </w:rPr>
        <w:t>. (a) This Agreement shall be construed in accordance with and governed by the law of the State of New York.</w:t>
      </w:r>
    </w:p>
    <w:p>
      <w:pPr>
        <w:spacing w:after="0" w:line="162" w:lineRule="exact"/>
        <w:rPr>
          <w:sz w:val="20"/>
          <w:szCs w:val="20"/>
          <w:color w:val="auto"/>
        </w:rPr>
      </w:pPr>
    </w:p>
    <w:p>
      <w:pPr>
        <w:ind w:firstLine="436"/>
        <w:spacing w:after="0" w:line="254" w:lineRule="auto"/>
        <w:tabs>
          <w:tab w:leader="none" w:pos="69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irrevocably and unconditionally submits, for itself and its property, to the nonexclusive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or any Lender may otherwise have to bring any action or proceeding relating to this Agreement against the Borrower or its properties in the courts of any jurisdiction.</w:t>
      </w:r>
    </w:p>
    <w:p>
      <w:pPr>
        <w:spacing w:after="0" w:line="191" w:lineRule="exact"/>
        <w:rPr>
          <w:rFonts w:ascii="Times New Roman" w:cs="Times New Roman" w:eastAsia="Times New Roman" w:hAnsi="Times New Roman"/>
          <w:sz w:val="18"/>
          <w:szCs w:val="18"/>
          <w:color w:val="auto"/>
        </w:rPr>
      </w:pPr>
    </w:p>
    <w:p>
      <w:pPr>
        <w:ind w:right="60" w:firstLine="436"/>
        <w:spacing w:after="0" w:line="261" w:lineRule="auto"/>
        <w:tabs>
          <w:tab w:leader="none" w:pos="68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79" w:lineRule="exact"/>
        <w:rPr>
          <w:rFonts w:ascii="Times New Roman" w:cs="Times New Roman" w:eastAsia="Times New Roman" w:hAnsi="Times New Roman"/>
          <w:sz w:val="18"/>
          <w:szCs w:val="18"/>
          <w:color w:val="auto"/>
        </w:rPr>
      </w:pPr>
    </w:p>
    <w:p>
      <w:pPr>
        <w:ind w:right="320" w:firstLine="436"/>
        <w:spacing w:after="0" w:line="282" w:lineRule="auto"/>
        <w:tabs>
          <w:tab w:leader="none" w:pos="69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to this Agreement irrevocably consents to service of process in the manner provided for notices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Nothing in this Agreement will affect the right of any party to this Agreement to serve process in any other manner permitted by law.</w:t>
      </w:r>
    </w:p>
    <w:p>
      <w:pPr>
        <w:spacing w:after="0" w:line="162" w:lineRule="exact"/>
        <w:rPr>
          <w:sz w:val="20"/>
          <w:szCs w:val="20"/>
          <w:color w:val="auto"/>
        </w:rPr>
      </w:pPr>
    </w:p>
    <w:p>
      <w:pPr>
        <w:ind w:right="2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0"/>
          </w:cols>
          <w:pgMar w:left="440" w:top="270" w:right="459" w:bottom="1440" w:gutter="0" w:footer="0" w:header="0"/>
        </w:sectPr>
      </w:pPr>
    </w:p>
    <w:bookmarkStart w:id="78" w:name="page79"/>
    <w:bookmarkEnd w:id="78"/>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9.11.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62"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7"/>
          <w:szCs w:val="17"/>
          <w:color w:val="auto"/>
        </w:rPr>
        <w:t xml:space="preserve">SECTION 9.12. </w:t>
      </w:r>
      <w:r>
        <w:rPr>
          <w:rFonts w:ascii="Times New Roman" w:cs="Times New Roman" w:eastAsia="Times New Roman" w:hAnsi="Times New Roman"/>
          <w:sz w:val="17"/>
          <w:szCs w:val="17"/>
          <w:u w:val="single" w:color="auto"/>
          <w:color w:val="auto"/>
        </w:rPr>
        <w:t>Confidentiality</w:t>
      </w:r>
      <w:r>
        <w:rPr>
          <w:rFonts w:ascii="Times New Roman" w:cs="Times New Roman" w:eastAsia="Times New Roman" w:hAnsi="Times New Roman"/>
          <w:sz w:val="17"/>
          <w:szCs w:val="17"/>
          <w:color w:val="auto"/>
        </w:rPr>
        <w:t xml:space="preserve">. Each of the Administrative Agent, the Co-Syndication Agents, the Co-Documentation Agents, and the Lenders agrees to maintain the confidentiality of the Information (as defined below), except that Information may be disclosed (a) to its and its Affiliates’ directors, officers, managers, administrators, trustees,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(c) to the extent required by applicable laws or regulations or by any subpoena or similar legal process, (d) to any other party to this Agreement, (e) in connection with the exercise of any remedies hereunder or any suit, action or proceeding relating to this Agreement or the enforcement of rights hereunder, (f) subject to an agreement containing provisions substantially the same as those of this Section, to (i) any assignee of or Participant in, or any prospective assignee of or Participant in, any of its rights or obligations under this Agreement (including any pledgee or assignee permitted under </w:t>
      </w:r>
      <w:r>
        <w:rPr>
          <w:rFonts w:ascii="Times New Roman" w:cs="Times New Roman" w:eastAsia="Times New Roman" w:hAnsi="Times New Roman"/>
          <w:sz w:val="17"/>
          <w:szCs w:val="17"/>
          <w:u w:val="single" w:color="auto"/>
          <w:color w:val="auto"/>
        </w:rPr>
        <w:t>Section 9.04(g)</w:t>
      </w:r>
      <w:r>
        <w:rPr>
          <w:rFonts w:ascii="Times New Roman" w:cs="Times New Roman" w:eastAsia="Times New Roman" w:hAnsi="Times New Roman"/>
          <w:sz w:val="17"/>
          <w:szCs w:val="17"/>
          <w:color w:val="auto"/>
        </w:rPr>
        <w:t>), (ii) any actual or prospective party (or its managers, administrators, trustees, partners, directors, officers, employees, agents, advisors and other representatives) to any swap, derivative or other transaction under which payments are to be made by reference to the Borrower and its obligations, this Agreement or payments hereunder, (iii) any rating agency, or</w:t>
      </w:r>
    </w:p>
    <w:p>
      <w:pPr>
        <w:spacing w:after="0" w:line="2" w:lineRule="exact"/>
        <w:rPr>
          <w:sz w:val="20"/>
          <w:szCs w:val="20"/>
          <w:color w:val="auto"/>
        </w:rPr>
      </w:pPr>
    </w:p>
    <w:p>
      <w:pPr>
        <w:ind w:left="4" w:right="20" w:hanging="4"/>
        <w:spacing w:after="0" w:line="252" w:lineRule="auto"/>
        <w:tabs>
          <w:tab w:leader="none" w:pos="30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Service Bureau or any similar organization, (g) with the consent of the Borrower or (h) to the extent such Information (i) becomes publicly available other than as a result of a breach of this Section or (ii) becomes available to the Administrative Agent, the Co-Syndication Agents, the Co-Documentation Agents or any Lender on a nonconfidential basis from a source other than the Borrower and its Related Parties. For the purposes of this Section, “Information” means all information received from the Borrower relating to the Borrower or its business, other than any such information that is available to the Administrative Agent or any Lender on a nonconfidential basis prior to disclosure by the Borrower. For the avoidance of doubt, nothing herein prohibits any individual from communicating or disclosing information regarding suspected violations of laws, rules or regulations to a Governmental Authority.</w:t>
      </w:r>
    </w:p>
    <w:p>
      <w:pPr>
        <w:spacing w:after="0" w:line="188" w:lineRule="exact"/>
        <w:rPr>
          <w:sz w:val="20"/>
          <w:szCs w:val="20"/>
          <w:color w:val="auto"/>
        </w:rPr>
      </w:pPr>
    </w:p>
    <w:p>
      <w:pPr>
        <w:ind w:left="4" w:right="1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(to the extent lawful) with interest thereon at the Federal Funds Effective Rate to the date of repayment, shall have been received by such Lender.</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4"/>
          </w:cols>
          <w:pgMar w:left="436" w:top="270" w:right="459" w:bottom="1440" w:gutter="0" w:footer="0" w:header="0"/>
        </w:sectPr>
      </w:pPr>
    </w:p>
    <w:bookmarkStart w:id="79" w:name="page80"/>
    <w:bookmarkEnd w:id="79"/>
    <w:p>
      <w:pPr>
        <w:ind w:left="4" w:right="5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9.14. </w:t>
      </w:r>
      <w:r>
        <w:rPr>
          <w:rFonts w:ascii="Times New Roman" w:cs="Times New Roman" w:eastAsia="Times New Roman" w:hAnsi="Times New Roman"/>
          <w:sz w:val="18"/>
          <w:szCs w:val="18"/>
          <w:u w:val="single" w:color="auto"/>
          <w:color w:val="auto"/>
        </w:rPr>
        <w:t>Liability of Manager</w:t>
      </w:r>
      <w:r>
        <w:rPr>
          <w:rFonts w:ascii="Times New Roman" w:cs="Times New Roman" w:eastAsia="Times New Roman" w:hAnsi="Times New Roman"/>
          <w:sz w:val="18"/>
          <w:szCs w:val="18"/>
          <w:color w:val="auto"/>
        </w:rPr>
        <w:t>. It is hereby understood and agreed that Manager shall have no personal liability, as a member of the Borrower or otherwise, for the payment of any amount owing or to be owing hereunder.</w:t>
      </w:r>
    </w:p>
    <w:p>
      <w:pPr>
        <w:spacing w:after="0" w:line="162"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USA Patriot Act Notice</w:t>
      </w:r>
      <w:r>
        <w:rPr>
          <w:rFonts w:ascii="Times New Roman" w:cs="Times New Roman" w:eastAsia="Times New Roman" w:hAnsi="Times New Roman"/>
          <w:sz w:val="18"/>
          <w:szCs w:val="18"/>
          <w:color w:val="auto"/>
        </w:rPr>
        <w:t>. Each Lender and the Administrative Agent (for itself and not on behalf of any Lender) hereby notifies Borrower that pursuant to the requirements of the USA Patriot Act (Title III of Pub. L. 107-56 (signed into law October 26, 2003))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it is required to obtain, verify and record information that identifies Borrower, which information includes the name and address of Borrower and other information that will allow such Lender or the Administrative Agent, as applicable, to identify Borrower in accordance with the Act. The Borrower shall, following a request by the Administrative Agent or any Lender, provide all documentation and other information that the Administrative Agent or such Lender reasonably requests in order to comply with its ongoing obligations under applicable “know your customer” and anti-money laundering rules and regulations, including the Act.</w:t>
      </w:r>
    </w:p>
    <w:p>
      <w:pPr>
        <w:spacing w:after="0" w:line="189" w:lineRule="exact"/>
        <w:rPr>
          <w:sz w:val="20"/>
          <w:szCs w:val="20"/>
          <w:color w:val="auto"/>
        </w:rPr>
      </w:pPr>
    </w:p>
    <w:p>
      <w:pPr>
        <w:ind w:left="4" w:right="20" w:firstLine="440"/>
        <w:spacing w:after="0" w:line="267" w:lineRule="auto"/>
        <w:rPr>
          <w:sz w:val="20"/>
          <w:szCs w:val="20"/>
          <w:color w:val="auto"/>
        </w:rPr>
      </w:pPr>
      <w:r>
        <w:rPr>
          <w:rFonts w:ascii="Times New Roman" w:cs="Times New Roman" w:eastAsia="Times New Roman" w:hAnsi="Times New Roman"/>
          <w:sz w:val="17"/>
          <w:szCs w:val="17"/>
          <w:color w:val="auto"/>
        </w:rPr>
        <w:t xml:space="preserve">SECTION 9.16. </w:t>
      </w:r>
      <w:r>
        <w:rPr>
          <w:rFonts w:ascii="Times New Roman" w:cs="Times New Roman" w:eastAsia="Times New Roman" w:hAnsi="Times New Roman"/>
          <w:sz w:val="17"/>
          <w:szCs w:val="17"/>
          <w:u w:val="single" w:color="auto"/>
          <w:color w:val="auto"/>
        </w:rPr>
        <w:t>No Advisory or Fiduciary Responsibility</w:t>
      </w:r>
      <w:r>
        <w:rPr>
          <w:rFonts w:ascii="Times New Roman" w:cs="Times New Roman" w:eastAsia="Times New Roman" w:hAnsi="Times New Roman"/>
          <w:sz w:val="17"/>
          <w:szCs w:val="17"/>
          <w:color w:val="auto"/>
        </w:rPr>
        <w:t>. In connection with all aspects of each transaction contemplated hereby (including in connection with any amendment, waiver or other modification hereof or of any other loan document executed or delivered in connection herewith), Borrower acknowledges and agrees, and acknowledges its Affiliates’ understanding, that: (i) (A) the arranging and other services regarding this Agreement provided by Administrative Agent, Arrangers and Lenders are arm’s-length commercial transactions between Borrower and its Affiliates, on the one hand, and Administrative Agent, Arrangers and Lenders, on the other hand, (B) Borrower has consulted its own legal, accounting, regulatory and tax advisors to the extent it has deemed appropriate, and (C) Borrower is capable of evaluating, and understands and accepts, the terms, risks and conditions of the transactions contemplated hereby and by the other loan documents executed or delivered in connection herewith; (ii) (A) Administrative Agent, each Lender and each Arranger is and has been acting solely as a principal and, except as expressly agreed in writing by the relevant parties, has not been, is not, and will not be acting as an advisor, agent or fiduciary for Borrower or any of its Affiliates, or any other Person and</w:t>
      </w:r>
    </w:p>
    <w:p>
      <w:pPr>
        <w:spacing w:after="0" w:line="5" w:lineRule="exact"/>
        <w:rPr>
          <w:sz w:val="20"/>
          <w:szCs w:val="20"/>
          <w:color w:val="auto"/>
        </w:rPr>
      </w:pPr>
    </w:p>
    <w:p>
      <w:pPr>
        <w:ind w:left="4" w:hanging="4"/>
        <w:spacing w:after="0" w:line="252" w:lineRule="auto"/>
        <w:tabs>
          <w:tab w:leader="none" w:pos="28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Administrative Agent, nor any Arranger or any Lender has any obligation to Borrower or any of its Affiliates with respect to the transactions contemplated hereby except those obligations expressly set forth herein and in the other loan documents executed or delivered in connection herewith; and (iii) Administrative Agent, Arrangers and Lenders and their respective Affiliates may be engaged in a broad range of transactions that involve interests that differ from those of Borrower and its Affiliates, and none of the Administrative Agent, any Arranger or any Lender has any obligation to disclose any of such interests to Borrower or its Affiliates. To the fullest extent permitted by law, Borrower hereby waives and releases any claims that it may have against Administrative Agent, any Arranger or any Lender with respect to any breach or alleged breach of agency or fiduciary duty in connection with any aspect of any transaction contemplated hereby.</w:t>
      </w:r>
    </w:p>
    <w:p>
      <w:pPr>
        <w:spacing w:after="0" w:line="188" w:lineRule="exact"/>
        <w:rPr>
          <w:sz w:val="20"/>
          <w:szCs w:val="20"/>
          <w:color w:val="auto"/>
        </w:rPr>
      </w:pPr>
    </w:p>
    <w:p>
      <w:pPr>
        <w:ind w:left="4" w:right="2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9.17.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4"/>
          </w:cols>
          <w:pgMar w:left="436" w:top="270" w:right="459" w:bottom="1440" w:gutter="0" w:footer="0" w:header="0"/>
        </w:sectPr>
      </w:pPr>
    </w:p>
    <w:bookmarkStart w:id="80" w:name="page81"/>
    <w:bookmarkEnd w:id="80"/>
    <w:p>
      <w:pPr>
        <w:ind w:left="-20" w:right="340" w:firstLine="436"/>
        <w:spacing w:after="0" w:line="282" w:lineRule="auto"/>
        <w:tabs>
          <w:tab w:leader="none" w:pos="66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application of any Write-Down and Conversion Powers by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1060" w:hanging="221"/>
        <w:spacing w:after="0"/>
        <w:tabs>
          <w:tab w:leader="none" w:pos="10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17" w:lineRule="exact"/>
        <w:rPr>
          <w:rFonts w:ascii="Times New Roman" w:cs="Times New Roman" w:eastAsia="Times New Roman" w:hAnsi="Times New Roman"/>
          <w:sz w:val="18"/>
          <w:szCs w:val="18"/>
          <w:color w:val="auto"/>
        </w:rPr>
      </w:pPr>
    </w:p>
    <w:p>
      <w:pPr>
        <w:ind w:left="420" w:right="100" w:firstLine="419"/>
        <w:spacing w:after="0" w:line="266" w:lineRule="auto"/>
        <w:tabs>
          <w:tab w:leader="none" w:pos="1108"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67" w:lineRule="exact"/>
        <w:rPr>
          <w:rFonts w:ascii="Times New Roman" w:cs="Times New Roman" w:eastAsia="Times New Roman" w:hAnsi="Times New Roman"/>
          <w:sz w:val="18"/>
          <w:szCs w:val="18"/>
          <w:color w:val="auto"/>
        </w:rPr>
      </w:pPr>
    </w:p>
    <w:p>
      <w:pPr>
        <w:ind w:left="420" w:right="280" w:firstLine="419"/>
        <w:spacing w:after="0" w:line="282" w:lineRule="auto"/>
        <w:tabs>
          <w:tab w:leader="none" w:pos="1158"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9.18. </w:t>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240" w:firstLine="436"/>
        <w:spacing w:after="0" w:line="261" w:lineRule="auto"/>
        <w:tabs>
          <w:tab w:leader="none" w:pos="66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each Arranger and their respective Affiliates, and not, for the avoidance of doubt, to or for the benefit of the Borrower or EPD, that at least one of the following is and will be true:</w:t>
      </w:r>
    </w:p>
    <w:p>
      <w:pPr>
        <w:spacing w:after="0" w:line="71" w:lineRule="exact"/>
        <w:rPr>
          <w:rFonts w:ascii="Times New Roman" w:cs="Times New Roman" w:eastAsia="Times New Roman" w:hAnsi="Times New Roman"/>
          <w:sz w:val="18"/>
          <w:szCs w:val="18"/>
          <w:color w:val="auto"/>
        </w:rPr>
      </w:pPr>
    </w:p>
    <w:p>
      <w:pPr>
        <w:ind w:left="420" w:firstLine="419"/>
        <w:spacing w:after="0" w:line="312" w:lineRule="auto"/>
        <w:tabs>
          <w:tab w:leader="none" w:pos="1058"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Lender is not using “plan assets” (within the meaning of Section 3(42) of ERISA or otherwise) of one or more Benefit Plans with respect to such Lender’s entrance into, participation in, administration of and performance of the Loans, the Letters of Credit or the Commitments;</w:t>
      </w:r>
    </w:p>
    <w:p>
      <w:pPr>
        <w:spacing w:after="0" w:line="31" w:lineRule="exact"/>
        <w:rPr>
          <w:rFonts w:ascii="Times New Roman" w:cs="Times New Roman" w:eastAsia="Times New Roman" w:hAnsi="Times New Roman"/>
          <w:sz w:val="17"/>
          <w:szCs w:val="17"/>
          <w:color w:val="auto"/>
        </w:rPr>
      </w:pPr>
    </w:p>
    <w:p>
      <w:pPr>
        <w:ind w:left="420" w:right="180" w:firstLine="419"/>
        <w:spacing w:after="0" w:line="256" w:lineRule="auto"/>
        <w:tabs>
          <w:tab w:leader="none" w:pos="1108"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79" w:lineRule="exact"/>
        <w:rPr>
          <w:rFonts w:ascii="Times New Roman" w:cs="Times New Roman" w:eastAsia="Times New Roman" w:hAnsi="Times New Roman"/>
          <w:sz w:val="18"/>
          <w:szCs w:val="18"/>
          <w:color w:val="auto"/>
        </w:rPr>
      </w:pPr>
    </w:p>
    <w:p>
      <w:pPr>
        <w:ind w:left="420" w:right="240" w:firstLine="419"/>
        <w:spacing w:after="0" w:line="261" w:lineRule="auto"/>
        <w:tabs>
          <w:tab w:leader="none" w:pos="1158"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980"/>
          </w:cols>
          <w:pgMar w:left="460" w:top="270" w:right="459" w:bottom="1440" w:gutter="0" w:footer="0" w:header="0"/>
        </w:sectPr>
      </w:pPr>
    </w:p>
    <w:bookmarkStart w:id="81" w:name="page82"/>
    <w:bookmarkEnd w:id="81"/>
    <w:p>
      <w:pPr>
        <w:ind w:left="444"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68" w:lineRule="exact"/>
        <w:rPr>
          <w:sz w:val="20"/>
          <w:szCs w:val="20"/>
          <w:color w:val="auto"/>
        </w:rPr>
      </w:pPr>
    </w:p>
    <w:p>
      <w:pPr>
        <w:ind w:left="444" w:right="160" w:firstLine="419"/>
        <w:spacing w:after="0" w:line="282" w:lineRule="auto"/>
        <w:tabs>
          <w:tab w:leader="none" w:pos="1172"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161" w:lineRule="exact"/>
        <w:rPr>
          <w:rFonts w:ascii="Times New Roman" w:cs="Times New Roman" w:eastAsia="Times New Roman" w:hAnsi="Times New Roman"/>
          <w:sz w:val="18"/>
          <w:szCs w:val="18"/>
          <w:color w:val="auto"/>
        </w:rPr>
      </w:pPr>
    </w:p>
    <w:p>
      <w:pPr>
        <w:ind w:left="4" w:firstLine="436"/>
        <w:spacing w:after="0" w:line="261" w:lineRule="auto"/>
        <w:tabs>
          <w:tab w:leader="none" w:pos="699"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w:t>
      </w:r>
    </w:p>
    <w:p>
      <w:pPr>
        <w:ind w:left="4" w:right="20" w:hanging="4"/>
        <w:spacing w:after="0" w:line="252" w:lineRule="auto"/>
        <w:tabs>
          <w:tab w:leader="none" w:pos="25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became a Lender party hereto, and (y) covenants, from the date such Person became a Lender party hereto to the date such Person ceases being a Lender party hereto, for the benefit of, the Administrative Agent, each Arranger and their respective Affiliates, and not, for the avoidance of doubt, to or for the benefit of the Borrower or EPD, that none of the Administrative Agent, any Arranger and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[Signature Pages to Follow]</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4"/>
          </w:cols>
          <w:pgMar w:left="436" w:top="270" w:right="459" w:bottom="1440" w:gutter="0" w:footer="0" w:header="0"/>
        </w:sectPr>
      </w:pPr>
    </w:p>
    <w:bookmarkStart w:id="82" w:name="page83"/>
    <w:bookmarkEnd w:id="82"/>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ENTERPRISE PRODUCTS OPERATING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Enterprise Products OLPGP, Inc.,</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its Manager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Christian M. 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Christian M. “Chris” Nelly</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Executive Vice President – Finance and</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Sustainability and Treasurer</w:t>
      </w:r>
    </w:p>
    <w:p>
      <w:pPr>
        <w:spacing w:after="0" w:line="139" w:lineRule="exact"/>
        <w:rPr>
          <w:sz w:val="20"/>
          <w:szCs w:val="20"/>
          <w:color w:val="auto"/>
        </w:rPr>
      </w:pPr>
    </w:p>
    <w:p>
      <w:pPr>
        <w:jc w:val="right"/>
        <w:spacing w:after="0"/>
        <w:tabs>
          <w:tab w:leader="none" w:pos="2000" w:val="left"/>
        </w:tabs>
        <w:rPr>
          <w:sz w:val="20"/>
          <w:szCs w:val="20"/>
          <w:color w:val="auto"/>
        </w:rPr>
      </w:pPr>
      <w:r>
        <w:rPr>
          <w:rFonts w:ascii="Times New Roman" w:cs="Times New Roman" w:eastAsia="Times New Roman" w:hAnsi="Times New Roman"/>
          <w:sz w:val="18"/>
          <w:szCs w:val="18"/>
          <w:color w:val="auto"/>
        </w:rPr>
        <w:t>S-1</w:t>
      </w:r>
      <w:r>
        <w:rPr>
          <w:sz w:val="20"/>
          <w:szCs w:val="20"/>
          <w:color w:val="auto"/>
        </w:rPr>
        <w:tab/>
      </w:r>
      <w:r>
        <w:rPr>
          <w:rFonts w:ascii="Times New Roman" w:cs="Times New Roman" w:eastAsia="Times New Roman" w:hAnsi="Times New Roman"/>
          <w:sz w:val="18"/>
          <w:szCs w:val="18"/>
          <w:color w:val="auto"/>
        </w:rPr>
        <w:t>2026 EPO 364-Day Facility</w:t>
      </w:r>
    </w:p>
    <w:p>
      <w:pPr>
        <w:sectPr>
          <w:pgSz w:w="11900" w:h="16838" w:orient="portrait"/>
          <w:cols w:equalWidth="0" w:num="1">
            <w:col w:w="11020"/>
          </w:cols>
          <w:pgMar w:left="440" w:top="270" w:right="439" w:bottom="1440" w:gutter="0" w:footer="0" w:header="0"/>
        </w:sectPr>
      </w:pPr>
    </w:p>
    <w:bookmarkStart w:id="83" w:name="page84"/>
    <w:bookmarkEnd w:id="8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CITIBANK, N.A.,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as Administrative Agent and a Lender</w:t>
      </w:r>
    </w:p>
    <w:p>
      <w:pPr>
        <w:spacing w:after="0" w:line="2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Maureen Maroney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 Maureen Maroney</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S-2</w:t>
      </w:r>
    </w:p>
    <w:p>
      <w:pPr>
        <w:sectPr>
          <w:pgSz w:w="11900" w:h="16838" w:orient="portrait"/>
          <w:cols w:equalWidth="0" w:num="1">
            <w:col w:w="9019"/>
          </w:cols>
          <w:pgMar w:left="1440" w:top="270" w:right="1440" w:bottom="1440" w:gutter="0" w:footer="0" w:header="0"/>
        </w:sectPr>
      </w:pPr>
    </w:p>
    <w:bookmarkStart w:id="84" w:name="page85"/>
    <w:bookmarkEnd w:id="8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WELLS FARGO BANK,</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NATIONAL ASSOCIATION,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as Co-Syndication Agent and a Lender</w:t>
      </w:r>
    </w:p>
    <w:p>
      <w:pPr>
        <w:spacing w:after="0" w:line="2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Emily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 Emily Board</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S-3</w:t>
      </w:r>
    </w:p>
    <w:p>
      <w:pPr>
        <w:sectPr>
          <w:pgSz w:w="11900" w:h="16838" w:orient="portrait"/>
          <w:cols w:equalWidth="0" w:num="1">
            <w:col w:w="9019"/>
          </w:cols>
          <w:pgMar w:left="1440" w:top="270" w:right="1440" w:bottom="1440" w:gutter="0" w:footer="0" w:header="0"/>
        </w:sectPr>
      </w:pPr>
    </w:p>
    <w:bookmarkStart w:id="85" w:name="page86"/>
    <w:bookmarkEnd w:id="85"/>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JPMORGAN CHASE BANK, N.A.,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as Co-Syndication Agent and a Lender</w:t>
      </w:r>
    </w:p>
    <w:p>
      <w:pPr>
        <w:spacing w:after="0" w:line="2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Kyle Gruen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 Kyle Gruen</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S-4</w:t>
      </w:r>
    </w:p>
    <w:p>
      <w:pPr>
        <w:sectPr>
          <w:pgSz w:w="11900" w:h="16838" w:orient="portrait"/>
          <w:cols w:equalWidth="0" w:num="1">
            <w:col w:w="9019"/>
          </w:cols>
          <w:pgMar w:left="1440" w:top="270" w:right="1440" w:bottom="1440" w:gutter="0" w:footer="0" w:header="0"/>
        </w:sectPr>
      </w:pPr>
    </w:p>
    <w:bookmarkStart w:id="86" w:name="page87"/>
    <w:bookmarkEnd w:id="86"/>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MIZUHO BANK, LTD.,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as Co-Syndication Agent and a Lender</w:t>
      </w:r>
    </w:p>
    <w:p>
      <w:pPr>
        <w:spacing w:after="0" w:line="2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Edward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 Edward Sacks</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S-5</w:t>
      </w:r>
    </w:p>
    <w:p>
      <w:pPr>
        <w:sectPr>
          <w:pgSz w:w="11900" w:h="16838" w:orient="portrait"/>
          <w:cols w:equalWidth="0" w:num="1">
            <w:col w:w="9019"/>
          </w:cols>
          <w:pgMar w:left="1440" w:top="270" w:right="1440" w:bottom="1440" w:gutter="0" w:footer="0" w:header="0"/>
        </w:sectPr>
      </w:pPr>
    </w:p>
    <w:bookmarkStart w:id="87" w:name="page88"/>
    <w:bookmarkEnd w:id="87"/>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MUFG BANK, LTD.,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as Co-Syndication Agent and a Lender</w:t>
      </w:r>
    </w:p>
    <w:p>
      <w:pPr>
        <w:spacing w:after="0" w:line="2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Tennyson Ryals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 Tennyson Ryals</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S-6</w:t>
      </w:r>
    </w:p>
    <w:p>
      <w:pPr>
        <w:sectPr>
          <w:pgSz w:w="11900" w:h="16838" w:orient="portrait"/>
          <w:cols w:equalWidth="0" w:num="1">
            <w:col w:w="9019"/>
          </w:cols>
          <w:pgMar w:left="1440" w:top="270" w:right="1440" w:bottom="1440" w:gutter="0" w:footer="0" w:header="0"/>
        </w:sectPr>
      </w:pPr>
    </w:p>
    <w:bookmarkStart w:id="88" w:name="page89"/>
    <w:bookmarkEnd w:id="8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TRUIST BANK,</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as Co-Syndication Agent and a Lender</w:t>
      </w:r>
    </w:p>
    <w:p>
      <w:pPr>
        <w:spacing w:after="0" w:line="2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Lincoln LaCour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 Lincoln LaCour</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S-7</w:t>
      </w:r>
    </w:p>
    <w:p>
      <w:pPr>
        <w:sectPr>
          <w:pgSz w:w="11900" w:h="16838" w:orient="portrait"/>
          <w:cols w:equalWidth="0" w:num="1">
            <w:col w:w="9019"/>
          </w:cols>
          <w:pgMar w:left="1440" w:top="270" w:right="1440" w:bottom="1440" w:gutter="0" w:footer="0" w:header="0"/>
        </w:sectPr>
      </w:pPr>
    </w:p>
    <w:bookmarkStart w:id="89" w:name="page90"/>
    <w:bookmarkEnd w:id="89"/>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BARCLAYS BANK PLC,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as Co-Documentation Agent and a Lender</w:t>
      </w:r>
    </w:p>
    <w:p>
      <w:pPr>
        <w:spacing w:after="0" w:line="2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Sydney G.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 Sydney G. Dennis</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S-8</w:t>
      </w:r>
    </w:p>
    <w:p>
      <w:pPr>
        <w:sectPr>
          <w:pgSz w:w="11900" w:h="16838" w:orient="portrait"/>
          <w:cols w:equalWidth="0" w:num="1">
            <w:col w:w="9019"/>
          </w:cols>
          <w:pgMar w:left="1440" w:top="270" w:right="1440" w:bottom="1440" w:gutter="0" w:footer="0" w:header="0"/>
        </w:sectPr>
      </w:pPr>
    </w:p>
    <w:bookmarkStart w:id="90" w:name="page91"/>
    <w:bookmarkEnd w:id="9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ROYAL BANK OF CANADA,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as Co-Documentation Agent and a Lender</w:t>
      </w:r>
    </w:p>
    <w:p>
      <w:pPr>
        <w:spacing w:after="0" w:line="2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Sharp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 Michael Sharp</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S-9</w:t>
      </w:r>
    </w:p>
    <w:p>
      <w:pPr>
        <w:sectPr>
          <w:pgSz w:w="11900" w:h="16838" w:orient="portrait"/>
          <w:cols w:equalWidth="0" w:num="1">
            <w:col w:w="9019"/>
          </w:cols>
          <w:pgMar w:left="1440" w:top="270" w:right="1440" w:bottom="1440" w:gutter="0" w:footer="0" w:header="0"/>
        </w:sectPr>
      </w:pPr>
    </w:p>
    <w:bookmarkStart w:id="91" w:name="page92"/>
    <w:bookmarkEnd w:id="9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SUMITOMO MITSUI BANKING CORPORATION,</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Co-Documentation Agent and a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Irlen Mak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 Irlen Mak</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13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S-10</w:t>
      </w:r>
    </w:p>
    <w:p>
      <w:pPr>
        <w:sectPr>
          <w:pgSz w:w="11900" w:h="16838" w:orient="portrait"/>
          <w:cols w:equalWidth="0" w:num="1">
            <w:col w:w="9480"/>
          </w:cols>
          <w:pgMar w:left="1440" w:top="270" w:right="979" w:bottom="1440" w:gutter="0" w:footer="0" w:header="0"/>
        </w:sectPr>
      </w:pPr>
    </w:p>
    <w:bookmarkStart w:id="92" w:name="page93"/>
    <w:bookmarkEnd w:id="9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BANK OF NOVA SCOTIA,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HOUSTON BRANCH,</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as Co-Documentation Agent and a Lender</w:t>
      </w:r>
    </w:p>
    <w:p>
      <w:pPr>
        <w:spacing w:after="0" w:line="2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Joe Lattanzi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 Joe Lattanzi</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S-11</w:t>
      </w:r>
    </w:p>
    <w:p>
      <w:pPr>
        <w:sectPr>
          <w:pgSz w:w="11900" w:h="16838" w:orient="portrait"/>
          <w:cols w:equalWidth="0" w:num="1">
            <w:col w:w="9019"/>
          </w:cols>
          <w:pgMar w:left="1440" w:top="270" w:right="1440" w:bottom="1440" w:gutter="0" w:footer="0" w:header="0"/>
        </w:sectPr>
      </w:pPr>
    </w:p>
    <w:bookmarkStart w:id="93" w:name="page94"/>
    <w:bookmarkEnd w:id="9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TORONTO-DOMINION BANK,</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NEW YORK BRANCH,</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as Co-Documentation Agent and a Lender</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Lionel Baptista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 Lionel Baptista</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S-12</w:t>
      </w:r>
    </w:p>
    <w:p>
      <w:pPr>
        <w:sectPr>
          <w:pgSz w:w="11900" w:h="16838" w:orient="portrait"/>
          <w:cols w:equalWidth="0" w:num="1">
            <w:col w:w="9019"/>
          </w:cols>
          <w:pgMar w:left="1440" w:top="270" w:right="1440" w:bottom="1440" w:gutter="0" w:footer="0" w:header="0"/>
        </w:sectPr>
      </w:pPr>
    </w:p>
    <w:bookmarkStart w:id="94" w:name="page95"/>
    <w:bookmarkEnd w:id="9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 OF AMERICA, N.A.,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Christopher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jc w:val="right"/>
        <w:ind w:right="1219"/>
        <w:spacing w:after="0"/>
        <w:rPr>
          <w:sz w:val="20"/>
          <w:szCs w:val="20"/>
          <w:color w:val="auto"/>
        </w:rPr>
      </w:pPr>
      <w:r>
        <w:rPr>
          <w:rFonts w:ascii="Times New Roman" w:cs="Times New Roman" w:eastAsia="Times New Roman" w:hAnsi="Times New Roman"/>
          <w:sz w:val="18"/>
          <w:szCs w:val="18"/>
          <w:color w:val="auto"/>
        </w:rPr>
        <w:t>Name:  Christopher Clark</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S-13</w:t>
      </w:r>
    </w:p>
    <w:p>
      <w:pPr>
        <w:sectPr>
          <w:pgSz w:w="11900" w:h="16838" w:orient="portrait"/>
          <w:cols w:equalWidth="0" w:num="1">
            <w:col w:w="9019"/>
          </w:cols>
          <w:pgMar w:left="1440" w:top="270" w:right="1440" w:bottom="1440" w:gutter="0" w:footer="0" w:header="0"/>
        </w:sectPr>
      </w:pPr>
    </w:p>
    <w:bookmarkStart w:id="95" w:name="page96"/>
    <w:bookmarkEnd w:id="95"/>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AGRICOLE CORPORATE AND</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INVESTMENT BANK,</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Andrew Sidford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 Andrew Sidford</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Paul Arens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 Paul Arens</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S-14</w:t>
      </w:r>
    </w:p>
    <w:p>
      <w:pPr>
        <w:sectPr>
          <w:pgSz w:w="11900" w:h="16838" w:orient="portrait"/>
          <w:cols w:equalWidth="0" w:num="1">
            <w:col w:w="9019"/>
          </w:cols>
          <w:pgMar w:left="1440" w:top="270" w:right="1440" w:bottom="1440" w:gutter="0" w:footer="0" w:header="0"/>
        </w:sectPr>
      </w:pPr>
    </w:p>
    <w:bookmarkStart w:id="96" w:name="page97"/>
    <w:bookmarkEnd w:id="9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PNC BANK, NATIONAL ASSOCIATION,</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Jonathan Littman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 Jonathan Littman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 Assistant Vice President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S-15</w:t>
      </w:r>
    </w:p>
    <w:p>
      <w:pPr>
        <w:sectPr>
          <w:pgSz w:w="11900" w:h="16838" w:orient="portrait"/>
          <w:cols w:equalWidth="0" w:num="1">
            <w:col w:w="9019"/>
          </w:cols>
          <w:pgMar w:left="1440" w:top="270" w:right="1440" w:bottom="1440" w:gutter="0" w:footer="0" w:header="0"/>
        </w:sectPr>
      </w:pPr>
    </w:p>
    <w:bookmarkStart w:id="97" w:name="page98"/>
    <w:bookmarkEnd w:id="9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BANK NATIONAL ASSOCIATION,</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Scott Myatt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 Scott Myatt</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S-16</w:t>
      </w:r>
    </w:p>
    <w:p>
      <w:pPr>
        <w:sectPr>
          <w:pgSz w:w="11900" w:h="16838" w:orient="portrait"/>
          <w:cols w:equalWidth="0" w:num="1">
            <w:col w:w="9019"/>
          </w:cols>
          <w:pgMar w:left="1440" w:top="270" w:right="1440" w:bottom="1440" w:gutter="0" w:footer="0" w:header="0"/>
        </w:sectPr>
      </w:pPr>
    </w:p>
    <w:bookmarkStart w:id="98" w:name="page99"/>
    <w:bookmarkEnd w:id="9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SOCIETE GENERALE,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Richard Bernal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 Richard Bernal</w:t>
      </w:r>
    </w:p>
    <w:p>
      <w:pPr>
        <w:spacing w:after="0" w:line="23" w:lineRule="exact"/>
        <w:rPr>
          <w:sz w:val="20"/>
          <w:szCs w:val="20"/>
          <w:color w:val="auto"/>
        </w:rPr>
      </w:pPr>
    </w:p>
    <w:p>
      <w:pPr>
        <w:jc w:val="right"/>
        <w:ind w:right="1139"/>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S-17</w:t>
      </w:r>
    </w:p>
    <w:p>
      <w:pPr>
        <w:sectPr>
          <w:pgSz w:w="11900" w:h="16838" w:orient="portrait"/>
          <w:cols w:equalWidth="0" w:num="1">
            <w:col w:w="9019"/>
          </w:cols>
          <w:pgMar w:left="1440" w:top="270" w:right="1440" w:bottom="1440" w:gutter="0" w:footer="0" w:header="0"/>
        </w:sectPr>
      </w:pPr>
    </w:p>
    <w:bookmarkStart w:id="99" w:name="page100"/>
    <w:bookmarkEnd w:id="99"/>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BANCO BILBAO VIZCAYA ARGENTARIA,</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S.A. NEW YORK BRANCH,</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Cara Younger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 Cara Younger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Armen Semizian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 Armen Semizian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S-18</w:t>
      </w:r>
    </w:p>
    <w:p>
      <w:pPr>
        <w:sectPr>
          <w:pgSz w:w="11900" w:h="16838" w:orient="portrait"/>
          <w:cols w:equalWidth="0" w:num="1">
            <w:col w:w="9020"/>
          </w:cols>
          <w:pgMar w:left="1440" w:top="270" w:right="1439" w:bottom="1440" w:gutter="0" w:footer="0" w:header="0"/>
        </w:sectPr>
      </w:pPr>
    </w:p>
    <w:bookmarkStart w:id="100" w:name="page101"/>
    <w:bookmarkEnd w:id="10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MONTREAL,</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Jason 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 Jason Lang</w:t>
      </w:r>
    </w:p>
    <w:p>
      <w:pPr>
        <w:spacing w:after="0" w:line="27" w:lineRule="exact"/>
        <w:rPr>
          <w:sz w:val="20"/>
          <w:szCs w:val="20"/>
          <w:color w:val="auto"/>
        </w:rPr>
      </w:pPr>
    </w:p>
    <w:p>
      <w:pPr>
        <w:jc w:val="right"/>
        <w:ind w:right="1139"/>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S-19</w:t>
      </w:r>
    </w:p>
    <w:p>
      <w:pPr>
        <w:sectPr>
          <w:pgSz w:w="11900" w:h="16838" w:orient="portrait"/>
          <w:cols w:equalWidth="0" w:num="1">
            <w:col w:w="9019"/>
          </w:cols>
          <w:pgMar w:left="1440" w:top="270" w:right="1440" w:bottom="1440" w:gutter="0" w:footer="0" w:header="0"/>
        </w:sectPr>
      </w:pPr>
    </w:p>
    <w:bookmarkStart w:id="101" w:name="page102"/>
    <w:bookmarkEnd w:id="10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DEUTSCHE BANK AG NEW YORK BRANCH,</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Alison Lugo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 Alison Lugo</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Doug Darman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 Doug Darman</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S-20</w:t>
      </w:r>
    </w:p>
    <w:p>
      <w:pPr>
        <w:sectPr>
          <w:pgSz w:w="11900" w:h="16838" w:orient="portrait"/>
          <w:cols w:equalWidth="0" w:num="1">
            <w:col w:w="9260"/>
          </w:cols>
          <w:pgMar w:left="1440" w:top="270" w:right="1199" w:bottom="1440" w:gutter="0" w:footer="0" w:header="0"/>
        </w:sectPr>
      </w:pPr>
    </w:p>
    <w:bookmarkStart w:id="102" w:name="page103"/>
    <w:bookmarkEnd w:id="102"/>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MORGAN STANLEY BANK, N.A.,</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Lender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 Michael King</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S-21</w:t>
      </w:r>
    </w:p>
    <w:p>
      <w:pPr>
        <w:sectPr>
          <w:pgSz w:w="11900" w:h="16838" w:orient="portrait"/>
          <w:cols w:equalWidth="0" w:num="1">
            <w:col w:w="9019"/>
          </w:cols>
          <w:pgMar w:left="1440" w:top="270" w:right="1440" w:bottom="1440" w:gutter="0" w:footer="0" w:header="0"/>
        </w:sectPr>
      </w:pPr>
    </w:p>
    <w:bookmarkStart w:id="103" w:name="page104"/>
    <w:bookmarkEnd w:id="103"/>
    <w:p>
      <w:pPr>
        <w:ind w:left="48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2.01</w:t>
      </w:r>
    </w:p>
    <w:p>
      <w:pPr>
        <w:spacing w:after="0" w:line="3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u w:val="single" w:color="auto"/>
          <w:color w:val="auto"/>
        </w:rPr>
        <w:t>COMMITMENTS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Lender</w:t>
            </w:r>
          </w:p>
        </w:tc>
        <w:tc>
          <w:tcPr>
            <w:tcW w:w="794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color w:val="auto"/>
              </w:rPr>
              <w:t>Commitment</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Applicable</w:t>
            </w:r>
          </w:p>
        </w:tc>
        <w:tc>
          <w:tcPr>
            <w:tcW w:w="0" w:type="dxa"/>
            <w:vAlign w:val="bottom"/>
          </w:tcPr>
          <w:p>
            <w:pPr>
              <w:spacing w:after="0"/>
              <w:rPr>
                <w:sz w:val="1"/>
                <w:szCs w:val="1"/>
                <w:color w:val="auto"/>
              </w:rPr>
            </w:pPr>
          </w:p>
        </w:tc>
      </w:tr>
      <w:tr>
        <w:trPr>
          <w:trHeight w:val="178"/>
        </w:trPr>
        <w:tc>
          <w:tcPr>
            <w:tcW w:w="420" w:type="dxa"/>
            <w:vAlign w:val="bottom"/>
            <w:tcBorders>
              <w:bottom w:val="single" w:sz="8" w:color="auto"/>
            </w:tcBorders>
            <w:vMerge w:val="continue"/>
          </w:tcPr>
          <w:p>
            <w:pPr>
              <w:spacing w:after="0"/>
              <w:rPr>
                <w:sz w:val="15"/>
                <w:szCs w:val="15"/>
                <w:color w:val="auto"/>
              </w:rPr>
            </w:pPr>
          </w:p>
        </w:tc>
        <w:tc>
          <w:tcPr>
            <w:tcW w:w="7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120" w:type="dxa"/>
            <w:vAlign w:val="bottom"/>
            <w:gridSpan w:val="2"/>
          </w:tcPr>
          <w:p>
            <w:pPr>
              <w:jc w:val="right"/>
              <w:ind w:right="360"/>
              <w:spacing w:after="0" w:line="158" w:lineRule="exact"/>
              <w:rPr>
                <w:sz w:val="20"/>
                <w:szCs w:val="20"/>
                <w:color w:val="auto"/>
              </w:rPr>
            </w:pPr>
            <w:r>
              <w:rPr>
                <w:rFonts w:ascii="Times New Roman" w:cs="Times New Roman" w:eastAsia="Times New Roman" w:hAnsi="Times New Roman"/>
                <w:sz w:val="14"/>
                <w:szCs w:val="14"/>
                <w:color w:val="auto"/>
              </w:rPr>
              <w:t>Percentage</w:t>
            </w:r>
          </w:p>
        </w:tc>
        <w:tc>
          <w:tcPr>
            <w:tcW w:w="0" w:type="dxa"/>
            <w:vAlign w:val="bottom"/>
          </w:tcPr>
          <w:p>
            <w:pPr>
              <w:spacing w:after="0"/>
              <w:rPr>
                <w:sz w:val="1"/>
                <w:szCs w:val="1"/>
                <w:color w:val="auto"/>
              </w:rPr>
            </w:pPr>
          </w:p>
        </w:tc>
      </w:tr>
      <w:tr>
        <w:trPr>
          <w:trHeight w:val="203"/>
        </w:trPr>
        <w:tc>
          <w:tcPr>
            <w:tcW w:w="83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Citibank, N.A.</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76,744,186.04</w:t>
            </w: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7"/>
              </w:rPr>
              <w:t>5.11627907%</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Bank, National Association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76,744,186.04</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5.11627907%</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JPMorgan Chase Bank, N.A.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76,744,186.04</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5.11627907%</w:t>
            </w: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Mizuho Bank, Ltd.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76,744,186.04</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5.11627907%</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MUFG Bank, Ltd.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76,744,186.05</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5.11627907%</w:t>
            </w: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Truist Bank</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76,744,186.05</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5.11627907%</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Bank PLC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76,744,186.05</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5.11627907%</w:t>
            </w: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Royal Bank of Canada</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76,744,186.05</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5.11627907%</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Sumitomo Mitsui Banking Corp.</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76,744,186.05</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5.11627907%</w:t>
            </w: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Bank of Nova Scotia, Houston Branch</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76,744,186.05</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5.11627907%</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Toronto-Dominion Bank, New York Branch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76,744,186.05</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5.11627907%</w:t>
            </w: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of America, N.A.</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76,744,186.05</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5.11627907%</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Agricole Corporate and Investment Bank</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76,744,186.05</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5.11627907%</w:t>
            </w: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PNC Bank, National Association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76,744,186.05</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5.11627907%</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Bank National Association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76,744,186.05</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5.11627907%</w:t>
            </w: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Société Générale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76,744,186.05</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5.11627907%</w:t>
            </w:r>
          </w:p>
        </w:tc>
        <w:tc>
          <w:tcPr>
            <w:tcW w:w="0" w:type="dxa"/>
            <w:vAlign w:val="bottom"/>
          </w:tcPr>
          <w:p>
            <w:pPr>
              <w:spacing w:after="0"/>
              <w:rPr>
                <w:sz w:val="1"/>
                <w:szCs w:val="1"/>
                <w:color w:val="auto"/>
              </w:rPr>
            </w:pPr>
          </w:p>
        </w:tc>
      </w:tr>
      <w:tr>
        <w:trPr>
          <w:trHeight w:val="198"/>
        </w:trPr>
        <w:tc>
          <w:tcPr>
            <w:tcW w:w="83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Banco Bilbao Vizcaya Argentaria, S.A.</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 Branch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68,023,255.81</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4.53488372%</w:t>
            </w: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of Montreal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68,023,255.81</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4.53488372%</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Deutsche Bank AG New York Branch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68,023,255.81</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4.53488372%</w:t>
            </w:r>
          </w:p>
        </w:tc>
        <w:tc>
          <w:tcPr>
            <w:tcW w:w="0" w:type="dxa"/>
            <w:vAlign w:val="bottom"/>
          </w:tcPr>
          <w:p>
            <w:pPr>
              <w:spacing w:after="0"/>
              <w:rPr>
                <w:sz w:val="1"/>
                <w:szCs w:val="1"/>
                <w:color w:val="auto"/>
              </w:rPr>
            </w:pPr>
          </w:p>
        </w:tc>
      </w:tr>
      <w:tr>
        <w:trPr>
          <w:trHeight w:val="216"/>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Morgan Stanley Bank, N.A.</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68,023,255.81</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4.53488372%</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1,500,000,000.00</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3.05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DISCLOSED MATTERS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None</w:t>
      </w:r>
    </w:p>
    <w:p>
      <w:pPr>
        <w:sectPr>
          <w:pgSz w:w="11900" w:h="16838" w:orient="portrait"/>
          <w:cols w:equalWidth="0" w:num="1">
            <w:col w:w="9019"/>
          </w:cols>
          <w:pgMar w:left="1440" w:top="266" w:right="1440"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6.06</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EXISTING RESTRICTIONS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None</w:t>
      </w:r>
    </w:p>
    <w:p>
      <w:pPr>
        <w:sectPr>
          <w:pgSz w:w="11900" w:h="16838" w:orient="portrait"/>
          <w:cols w:equalWidth="0" w:num="1">
            <w:col w:w="9019"/>
          </w:cols>
          <w:pgMar w:left="1440" w:top="266" w:right="1440"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00" w:lineRule="exact"/>
        <w:rPr>
          <w:sz w:val="20"/>
          <w:szCs w:val="20"/>
          <w:color w:val="auto"/>
        </w:rPr>
      </w:pPr>
    </w:p>
    <w:p>
      <w:pPr>
        <w:spacing w:after="0" w:line="24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OF</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ASSIGNMENT AND ASSUMPTION</w:t>
      </w:r>
    </w:p>
    <w:p>
      <w:pPr>
        <w:spacing w:after="0" w:line="207"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This Assignment and Assumption (the “</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is dated as of the Effective Date set forth below and is entered into by and between </w:t>
      </w:r>
      <w:r>
        <w:rPr>
          <w:rFonts w:ascii="Times New Roman" w:cs="Times New Roman" w:eastAsia="Times New Roman" w:hAnsi="Times New Roman"/>
          <w:sz w:val="18"/>
          <w:szCs w:val="18"/>
          <w:i w:val="1"/>
          <w:iCs w:val="1"/>
          <w:color w:val="auto"/>
        </w:rPr>
        <w:t>[Insert name of Assignor]</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[Insert name of Assignee]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Capitalized terms used but not defined herein shall have the meanings given to them in the Credit Agreement identified below (as amended,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83" w:lineRule="exact"/>
        <w:rPr>
          <w:sz w:val="20"/>
          <w:szCs w:val="20"/>
          <w:color w:val="auto"/>
        </w:rPr>
      </w:pPr>
    </w:p>
    <w:p>
      <w:pPr>
        <w:ind w:left="4" w:right="20" w:firstLine="440"/>
        <w:spacing w:after="0" w:line="269" w:lineRule="auto"/>
        <w:rPr>
          <w:sz w:val="20"/>
          <w:szCs w:val="20"/>
          <w:color w:val="auto"/>
        </w:rPr>
      </w:pPr>
      <w:r>
        <w:rPr>
          <w:rFonts w:ascii="Times New Roman" w:cs="Times New Roman" w:eastAsia="Times New Roman" w:hAnsi="Times New Roman"/>
          <w:sz w:val="17"/>
          <w:szCs w:val="17"/>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Administrative Agent as contemplated below (i) all of the Assignor’s rights and obligations as a Lender under the Credit Agreement and any other documents or instruments delivered pursuant thereto to the extent related to the amount and percentage interest identified below (including, without limitation, any letters of credit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Times New Roman" w:cs="Times New Roman" w:eastAsia="Times New Roman" w:hAnsi="Times New Roman"/>
          <w:sz w:val="17"/>
          <w:szCs w:val="17"/>
          <w:u w:val="single" w:color="auto"/>
          <w:color w:val="auto"/>
        </w:rPr>
        <w:t>Assigned Interest</w:t>
      </w:r>
      <w:r>
        <w:rPr>
          <w:rFonts w:ascii="Times New Roman" w:cs="Times New Roman" w:eastAsia="Times New Roman" w:hAnsi="Times New Roman"/>
          <w:sz w:val="17"/>
          <w:szCs w:val="17"/>
          <w:color w:val="auto"/>
        </w:rPr>
        <w:t>”). Such sale and assignment is without recourse to the Assignor and, except as expressly provided in this Assignment and Assumption, without representation or warranty by the Assignor.</w:t>
      </w:r>
    </w:p>
    <w:p>
      <w:pPr>
        <w:spacing w:after="0" w:line="209" w:lineRule="exact"/>
        <w:rPr>
          <w:sz w:val="20"/>
          <w:szCs w:val="20"/>
          <w:color w:val="auto"/>
        </w:rPr>
      </w:pPr>
    </w:p>
    <w:p>
      <w:pPr>
        <w:ind w:left="244" w:hanging="244"/>
        <w:spacing w:after="0"/>
        <w:tabs>
          <w:tab w:leader="none" w:pos="24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Assignor:</w:t>
      </w:r>
    </w:p>
    <w:p>
      <w:pPr>
        <w:spacing w:after="0" w:line="144"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1337310</wp:posOffset>
            </wp:positionH>
            <wp:positionV relativeFrom="paragraph">
              <wp:posOffset>-205105</wp:posOffset>
            </wp:positionV>
            <wp:extent cx="27946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1337310</wp:posOffset>
            </wp:positionH>
            <wp:positionV relativeFrom="paragraph">
              <wp:posOffset>17145</wp:posOffset>
            </wp:positionV>
            <wp:extent cx="27946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2104"/>
        <w:spacing w:after="0"/>
        <w:rPr>
          <w:sz w:val="20"/>
          <w:szCs w:val="20"/>
          <w:color w:val="auto"/>
        </w:rPr>
      </w:pPr>
      <w:r>
        <w:rPr>
          <w:rFonts w:ascii="Times New Roman" w:cs="Times New Roman" w:eastAsia="Times New Roman" w:hAnsi="Times New Roman"/>
          <w:sz w:val="18"/>
          <w:szCs w:val="18"/>
          <w:color w:val="auto"/>
        </w:rPr>
        <w:t xml:space="preserve">[and is an Affiliate of [identify Lender]] </w:t>
      </w:r>
      <w:r>
        <w:rPr>
          <w:rFonts w:ascii="Times New Roman" w:cs="Times New Roman" w:eastAsia="Times New Roman" w:hAnsi="Times New Roman"/>
          <w:sz w:val="26"/>
          <w:szCs w:val="26"/>
          <w:color w:val="auto"/>
          <w:vertAlign w:val="superscript"/>
        </w:rPr>
        <w:t>1</w:t>
      </w:r>
    </w:p>
    <w:p>
      <w:pPr>
        <w:spacing w:after="0" w:line="45" w:lineRule="exact"/>
        <w:rPr>
          <w:sz w:val="20"/>
          <w:szCs w:val="20"/>
          <w:color w:val="auto"/>
        </w:rPr>
      </w:pPr>
    </w:p>
    <w:p>
      <w:pPr>
        <w:ind w:left="4"/>
        <w:spacing w:after="0"/>
        <w:tabs>
          <w:tab w:leader="none" w:pos="2084" w:val="left"/>
        </w:tabs>
        <w:rPr>
          <w:sz w:val="20"/>
          <w:szCs w:val="20"/>
          <w:color w:val="auto"/>
        </w:rPr>
      </w:pPr>
      <w:r>
        <w:rPr>
          <w:rFonts w:ascii="Times New Roman" w:cs="Times New Roman" w:eastAsia="Times New Roman" w:hAnsi="Times New Roman"/>
          <w:sz w:val="18"/>
          <w:szCs w:val="18"/>
          <w:color w:val="auto"/>
        </w:rPr>
        <w:t>3. Borrower:</w:t>
      </w:r>
      <w:r>
        <w:rPr>
          <w:sz w:val="20"/>
          <w:szCs w:val="20"/>
          <w:color w:val="auto"/>
        </w:rPr>
        <w:tab/>
      </w:r>
      <w:r>
        <w:rPr>
          <w:rFonts w:ascii="Times New Roman" w:cs="Times New Roman" w:eastAsia="Times New Roman" w:hAnsi="Times New Roman"/>
          <w:sz w:val="17"/>
          <w:szCs w:val="17"/>
          <w:color w:val="auto"/>
        </w:rPr>
        <w:t>Enterprise Products Operating LLC</w:t>
      </w:r>
    </w:p>
    <w:p>
      <w:pPr>
        <w:spacing w:after="0" w:line="97" w:lineRule="exact"/>
        <w:rPr>
          <w:sz w:val="20"/>
          <w:szCs w:val="20"/>
          <w:color w:val="auto"/>
        </w:rPr>
      </w:pPr>
    </w:p>
    <w:p>
      <w:pPr>
        <w:ind w:left="244" w:hanging="244"/>
        <w:spacing w:after="0"/>
        <w:tabs>
          <w:tab w:leader="none" w:pos="24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Citibank, N.A., as the administrative agent under the Credit Agreement</w:t>
      </w:r>
    </w:p>
    <w:p>
      <w:pPr>
        <w:spacing w:after="0" w:line="225" w:lineRule="exact"/>
        <w:rPr>
          <w:rFonts w:ascii="Times New Roman" w:cs="Times New Roman" w:eastAsia="Times New Roman" w:hAnsi="Times New Roman"/>
          <w:sz w:val="18"/>
          <w:szCs w:val="18"/>
          <w:color w:val="auto"/>
        </w:rPr>
      </w:pPr>
    </w:p>
    <w:p>
      <w:pPr>
        <w:ind w:left="4" w:right="160" w:hanging="4"/>
        <w:spacing w:after="0" w:line="282" w:lineRule="auto"/>
        <w:tabs>
          <w:tab w:leader="none" w:pos="18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Agreement: 364-Day Revolving Credit Agreement dated as of March 27, 2026 among Borrower, the Lenders from time to time party thereto, and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715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8" w:lineRule="exact"/>
        <w:rPr>
          <w:sz w:val="20"/>
          <w:szCs w:val="20"/>
          <w:color w:val="auto"/>
        </w:rPr>
      </w:pPr>
    </w:p>
    <w:p>
      <w:pPr>
        <w:ind w:left="424" w:hanging="424"/>
        <w:spacing w:after="0"/>
        <w:tabs>
          <w:tab w:leader="none" w:pos="424" w:val="left"/>
        </w:tabs>
        <w:numPr>
          <w:ilvl w:val="0"/>
          <w:numId w:val="9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Select as applicable.</w:t>
      </w:r>
    </w:p>
    <w:p>
      <w:pPr>
        <w:sectPr>
          <w:pgSz w:w="11900" w:h="16838" w:orient="portrait"/>
          <w:cols w:equalWidth="0" w:num="1">
            <w:col w:w="11024"/>
          </w:cols>
          <w:pgMar w:left="436" w:top="266" w:right="439" w:bottom="1440" w:gutter="0" w:footer="0" w:header="0"/>
        </w:sectPr>
      </w:pPr>
    </w:p>
    <w:bookmarkStart w:id="107" w:name="page108"/>
    <w:bookmarkEnd w:id="107"/>
    <w:tbl>
      <w:tblPr>
        <w:tblLayout w:type="fixed"/>
        <w:tblInd w:w="4" w:type="dxa"/>
        <w:tblCellMar>
          <w:top w:w="0" w:type="dxa"/>
          <w:left w:w="0" w:type="dxa"/>
          <w:bottom w:w="0" w:type="dxa"/>
          <w:right w:w="0" w:type="dxa"/>
        </w:tblCellMar>
      </w:tblPr>
      <w:tr>
        <w:trPr>
          <w:trHeight w:val="234"/>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w:t>
            </w:r>
          </w:p>
        </w:tc>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Assigned Interest:</w:t>
            </w:r>
          </w:p>
        </w:tc>
        <w:tc>
          <w:tcPr>
            <w:tcW w:w="20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00" w:type="dxa"/>
            <w:vAlign w:val="bottom"/>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Aggregate Amount</w:t>
            </w:r>
          </w:p>
        </w:tc>
        <w:tc>
          <w:tcPr>
            <w:tcW w:w="19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000" w:type="dxa"/>
            <w:vAlign w:val="bottom"/>
          </w:tcPr>
          <w:p>
            <w:pPr>
              <w:jc w:val="center"/>
              <w:ind w:left="4"/>
              <w:spacing w:after="0" w:line="160" w:lineRule="exact"/>
              <w:rPr>
                <w:sz w:val="20"/>
                <w:szCs w:val="20"/>
                <w:color w:val="auto"/>
              </w:rPr>
            </w:pPr>
            <w:r>
              <w:rPr>
                <w:rFonts w:ascii="Times New Roman" w:cs="Times New Roman" w:eastAsia="Times New Roman" w:hAnsi="Times New Roman"/>
                <w:sz w:val="14"/>
                <w:szCs w:val="14"/>
                <w:b w:val="1"/>
                <w:bCs w:val="1"/>
                <w:color w:val="auto"/>
              </w:rPr>
              <w:t>of</w:t>
            </w:r>
          </w:p>
        </w:tc>
        <w:tc>
          <w:tcPr>
            <w:tcW w:w="19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1720" w:type="dxa"/>
            <w:vAlign w:val="bottom"/>
          </w:tcPr>
          <w:p>
            <w:pPr>
              <w:jc w:val="center"/>
              <w:ind w:left="204"/>
              <w:spacing w:after="0" w:line="160"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0" w:type="dxa"/>
            <w:vAlign w:val="bottom"/>
            <w:vMerge w:val="restart"/>
          </w:tcPr>
          <w:p>
            <w:pPr>
              <w:ind w:left="1160"/>
              <w:spacing w:after="0"/>
              <w:rPr>
                <w:sz w:val="20"/>
                <w:szCs w:val="20"/>
                <w:color w:val="auto"/>
              </w:rPr>
            </w:pPr>
            <w:r>
              <w:rPr>
                <w:rFonts w:ascii="Times New Roman" w:cs="Times New Roman" w:eastAsia="Times New Roman" w:hAnsi="Times New Roman"/>
                <w:sz w:val="14"/>
                <w:szCs w:val="14"/>
                <w:b w:val="1"/>
                <w:bCs w:val="1"/>
                <w:color w:val="auto"/>
              </w:rPr>
              <w:t>Facility Assigned</w:t>
            </w:r>
          </w:p>
        </w:tc>
        <w:tc>
          <w:tcPr>
            <w:tcW w:w="2000" w:type="dxa"/>
            <w:vAlign w:val="bottom"/>
          </w:tcPr>
          <w:p>
            <w:pPr>
              <w:jc w:val="center"/>
              <w:ind w:left="4"/>
              <w:spacing w:after="0" w:line="149" w:lineRule="exact"/>
              <w:rPr>
                <w:sz w:val="20"/>
                <w:szCs w:val="20"/>
                <w:color w:val="auto"/>
              </w:rPr>
            </w:pPr>
            <w:r>
              <w:rPr>
                <w:rFonts w:ascii="Times New Roman" w:cs="Times New Roman" w:eastAsia="Times New Roman" w:hAnsi="Times New Roman"/>
                <w:sz w:val="14"/>
                <w:szCs w:val="14"/>
                <w:b w:val="1"/>
                <w:bCs w:val="1"/>
                <w:color w:val="auto"/>
              </w:rPr>
              <w:t>Commitment/Loans</w:t>
            </w: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Commitment/Loans</w:t>
            </w:r>
          </w:p>
        </w:tc>
        <w:tc>
          <w:tcPr>
            <w:tcW w:w="1720" w:type="dxa"/>
            <w:vAlign w:val="bottom"/>
          </w:tcPr>
          <w:p>
            <w:pPr>
              <w:jc w:val="center"/>
              <w:ind w:left="224"/>
              <w:spacing w:after="0" w:line="149" w:lineRule="exact"/>
              <w:rPr>
                <w:sz w:val="20"/>
                <w:szCs w:val="20"/>
                <w:color w:val="auto"/>
              </w:rPr>
            </w:pPr>
            <w:r>
              <w:rPr>
                <w:rFonts w:ascii="Times New Roman" w:cs="Times New Roman" w:eastAsia="Times New Roman" w:hAnsi="Times New Roman"/>
                <w:sz w:val="14"/>
                <w:szCs w:val="14"/>
                <w:b w:val="1"/>
                <w:bCs w:val="1"/>
                <w:color w:val="auto"/>
              </w:rPr>
              <w:t>Assigned of</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0" w:type="dxa"/>
            <w:vAlign w:val="bottom"/>
            <w:vMerge w:val="continue"/>
          </w:tcPr>
          <w:p>
            <w:pPr>
              <w:spacing w:after="0"/>
              <w:rPr>
                <w:sz w:val="15"/>
                <w:szCs w:val="15"/>
                <w:color w:val="auto"/>
              </w:rPr>
            </w:pPr>
          </w:p>
        </w:tc>
        <w:tc>
          <w:tcPr>
            <w:tcW w:w="2000" w:type="dxa"/>
            <w:vAlign w:val="bottom"/>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for all Lenders</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Assigned</w:t>
            </w:r>
            <w:r>
              <w:rPr>
                <w:rFonts w:ascii="Times New Roman" w:cs="Times New Roman" w:eastAsia="Times New Roman" w:hAnsi="Times New Roman"/>
                <w:sz w:val="10"/>
                <w:szCs w:val="10"/>
                <w:b w:val="1"/>
                <w:bCs w:val="1"/>
                <w:color w:val="auto"/>
              </w:rPr>
              <w:t>2</w:t>
            </w:r>
          </w:p>
        </w:tc>
        <w:tc>
          <w:tcPr>
            <w:tcW w:w="1720" w:type="dxa"/>
            <w:vAlign w:val="bottom"/>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Commitment/Loans</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w:t>
            </w:r>
          </w:p>
        </w:tc>
        <w:tc>
          <w:tcPr>
            <w:tcW w:w="2000" w:type="dxa"/>
            <w:vAlign w:val="bottom"/>
            <w:shd w:val="clear" w:color="auto" w:fill="CCEEFF"/>
          </w:tcPr>
          <w:p>
            <w:pPr>
              <w:jc w:val="right"/>
              <w:ind w:right="1404"/>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ind w:right="1424"/>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58"/>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7.</w:t>
            </w:r>
          </w:p>
        </w:tc>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[Trade Date: _______________________________</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w:t>
            </w:r>
          </w:p>
        </w:tc>
        <w:tc>
          <w:tcPr>
            <w:tcW w:w="20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44"/>
        <w:spacing w:after="0"/>
        <w:rPr>
          <w:sz w:val="20"/>
          <w:szCs w:val="20"/>
          <w:color w:val="auto"/>
        </w:rPr>
      </w:pPr>
      <w:r>
        <w:rPr>
          <w:rFonts w:ascii="Times New Roman" w:cs="Times New Roman" w:eastAsia="Times New Roman" w:hAnsi="Times New Roman"/>
          <w:sz w:val="18"/>
          <w:szCs w:val="18"/>
          <w:color w:val="auto"/>
        </w:rPr>
        <w:t>Effective Date: ___________________, 20___ [TO BE INSERTED BY ADMINISTRATIVE AGENT AND WHICH SHALL BE THE</w:t>
      </w:r>
    </w:p>
    <w:p>
      <w:pPr>
        <w:spacing w:after="0" w:line="27" w:lineRule="exact"/>
        <w:rPr>
          <w:sz w:val="20"/>
          <w:szCs w:val="20"/>
          <w:color w:val="auto"/>
        </w:rPr>
      </w:pPr>
    </w:p>
    <w:p>
      <w:pPr>
        <w:ind w:left="444" w:right="3820" w:hanging="439"/>
        <w:spacing w:after="0" w:line="533" w:lineRule="auto"/>
        <w:rPr>
          <w:sz w:val="20"/>
          <w:szCs w:val="20"/>
          <w:color w:val="auto"/>
        </w:rPr>
      </w:pPr>
      <w:r>
        <w:rPr>
          <w:rFonts w:ascii="Times New Roman" w:cs="Times New Roman" w:eastAsia="Times New Roman" w:hAnsi="Times New Roman"/>
          <w:sz w:val="17"/>
          <w:szCs w:val="17"/>
          <w:color w:val="auto"/>
        </w:rPr>
        <w:t>EFFECTIVE DATE OF RECORDATION OF TRANSFER IN THE REGISTER THEREFOR.] The terms set forth in this Assignment and Assumption are hereby agreed to:</w:t>
      </w:r>
    </w:p>
    <w:p>
      <w:pPr>
        <w:ind w:left="6624"/>
        <w:spacing w:after="0"/>
        <w:rPr>
          <w:sz w:val="20"/>
          <w:szCs w:val="20"/>
          <w:color w:val="auto"/>
        </w:rPr>
      </w:pPr>
      <w:r>
        <w:rPr>
          <w:rFonts w:ascii="Times New Roman" w:cs="Times New Roman" w:eastAsia="Times New Roman" w:hAnsi="Times New Roman"/>
          <w:sz w:val="18"/>
          <w:szCs w:val="18"/>
          <w:b w:val="1"/>
          <w:bCs w:val="1"/>
          <w:color w:val="auto"/>
        </w:rPr>
        <w:t>ASSIGNOR</w:t>
      </w:r>
    </w:p>
    <w:p>
      <w:pPr>
        <w:spacing w:after="0" w:line="31"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 OF ASSIGNOR]</w:t>
      </w:r>
    </w:p>
    <w:p>
      <w:pPr>
        <w:spacing w:after="0" w:line="20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17145</wp:posOffset>
            </wp:positionV>
            <wp:extent cx="25628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w:t>
      </w:r>
    </w:p>
    <w:p>
      <w:pPr>
        <w:spacing w:after="0" w:line="221"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ASSIGNEE</w:t>
      </w:r>
    </w:p>
    <w:p>
      <w:pPr>
        <w:spacing w:after="0" w:line="31"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 OF ASSIGNEE]</w:t>
      </w:r>
    </w:p>
    <w:p>
      <w:pPr>
        <w:spacing w:after="0" w:line="20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17145</wp:posOffset>
            </wp:positionV>
            <wp:extent cx="25628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[Consented to and]</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xml:space="preserve"> Accepted:</w:t>
      </w:r>
    </w:p>
    <w:p>
      <w:pPr>
        <w:spacing w:after="0" w:line="1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CITIBANK, N.A., as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17145</wp:posOffset>
            </wp:positionV>
            <wp:extent cx="25628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424" w:hanging="424"/>
        <w:spacing w:after="0" w:line="208" w:lineRule="auto"/>
        <w:tabs>
          <w:tab w:leader="none" w:pos="424" w:val="left"/>
        </w:tabs>
        <w:numPr>
          <w:ilvl w:val="0"/>
          <w:numId w:val="10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Amount to be adjusted by the counterparties to take into account any payments or prepayments made between the Trade Date and the Effective Date.</w:t>
      </w:r>
    </w:p>
    <w:p>
      <w:pPr>
        <w:ind w:left="424" w:hanging="424"/>
        <w:spacing w:after="0" w:line="181" w:lineRule="auto"/>
        <w:tabs>
          <w:tab w:leader="none" w:pos="424" w:val="left"/>
        </w:tabs>
        <w:numPr>
          <w:ilvl w:val="0"/>
          <w:numId w:val="10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Set forth, to at least nine decimals, as a percentage of the Commitment/Loans of all Lenders thereunder.</w:t>
      </w:r>
    </w:p>
    <w:p>
      <w:pPr>
        <w:ind w:left="424" w:hanging="424"/>
        <w:spacing w:after="0" w:line="181" w:lineRule="auto"/>
        <w:tabs>
          <w:tab w:leader="none" w:pos="424" w:val="left"/>
        </w:tabs>
        <w:numPr>
          <w:ilvl w:val="0"/>
          <w:numId w:val="10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To be completed if the Assignor and the Assignee intend that the minimum assignment amount is to be determined as of the Trade Date.</w:t>
      </w:r>
    </w:p>
    <w:p>
      <w:pPr>
        <w:spacing w:after="0" w:line="1" w:lineRule="exact"/>
        <w:rPr>
          <w:sz w:val="20"/>
          <w:szCs w:val="20"/>
          <w:color w:val="auto"/>
        </w:rPr>
      </w:pPr>
    </w:p>
    <w:p>
      <w:pPr>
        <w:ind w:left="4824" w:right="2640" w:hanging="4824"/>
        <w:spacing w:after="0" w:line="311" w:lineRule="auto"/>
        <w:tabs>
          <w:tab w:leader="none" w:pos="433" w:val="left"/>
        </w:tabs>
        <w:numPr>
          <w:ilvl w:val="0"/>
          <w:numId w:val="10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added only if the consent of Administrative Agent is required by the terms of the Credit Agreement. Exhibit A – Page 2</w:t>
      </w:r>
    </w:p>
    <w:p>
      <w:pPr>
        <w:sectPr>
          <w:pgSz w:w="11900" w:h="16838" w:orient="portrait"/>
          <w:cols w:equalWidth="0" w:num="1">
            <w:col w:w="10724"/>
          </w:cols>
          <w:pgMar w:left="436" w:top="270" w:right="739" w:bottom="1440" w:gutter="0" w:footer="0" w:header="0"/>
        </w:sectPr>
      </w:pPr>
    </w:p>
    <w:bookmarkStart w:id="108" w:name="page109"/>
    <w:bookmarkEnd w:id="10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[Consented to]</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ENTERPRISE PRODUCTS OPERATING LLC</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Enterprise Products OLPGP, Inc.,</w:t>
      </w:r>
    </w:p>
    <w:p>
      <w:pPr>
        <w:spacing w:after="0" w:line="27"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its Manager</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17145</wp:posOffset>
            </wp:positionV>
            <wp:extent cx="25628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824" w:right="2819" w:hanging="4824"/>
        <w:spacing w:after="0" w:line="334" w:lineRule="auto"/>
        <w:tabs>
          <w:tab w:leader="none" w:pos="433" w:val="left"/>
        </w:tabs>
        <w:numPr>
          <w:ilvl w:val="0"/>
          <w:numId w:val="10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added only if the consent of Borrower is required by the terms of the Credit Agreement. Exhibit A – Page 3</w:t>
      </w:r>
    </w:p>
    <w:p>
      <w:pPr>
        <w:sectPr>
          <w:pgSz w:w="11900" w:h="16838" w:orient="portrait"/>
          <w:cols w:equalWidth="0" w:num="1">
            <w:col w:w="10023"/>
          </w:cols>
          <w:pgMar w:left="436" w:top="270" w:right="1440"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1 to Assignment and Assumption</w:t>
      </w:r>
    </w:p>
    <w:p>
      <w:pPr>
        <w:spacing w:after="0" w:line="200" w:lineRule="exact"/>
        <w:rPr>
          <w:sz w:val="20"/>
          <w:szCs w:val="20"/>
          <w:color w:val="auto"/>
        </w:rPr>
      </w:pPr>
    </w:p>
    <w:p>
      <w:pPr>
        <w:spacing w:after="0" w:line="241" w:lineRule="exact"/>
        <w:rPr>
          <w:sz w:val="20"/>
          <w:szCs w:val="20"/>
          <w:color w:val="auto"/>
        </w:rPr>
      </w:pPr>
    </w:p>
    <w:p>
      <w:pPr>
        <w:ind w:left="3904"/>
        <w:spacing w:after="0"/>
        <w:rPr>
          <w:sz w:val="20"/>
          <w:szCs w:val="20"/>
          <w:color w:val="auto"/>
        </w:rPr>
      </w:pPr>
      <w:r>
        <w:rPr>
          <w:rFonts w:ascii="Times New Roman" w:cs="Times New Roman" w:eastAsia="Times New Roman" w:hAnsi="Times New Roman"/>
          <w:sz w:val="18"/>
          <w:szCs w:val="18"/>
          <w:color w:val="auto"/>
        </w:rPr>
        <w:t>STANDARD TERMS AND CONDITIONS</w:t>
      </w:r>
    </w:p>
    <w:p>
      <w:pPr>
        <w:spacing w:after="0" w:line="27" w:lineRule="exact"/>
        <w:rPr>
          <w:sz w:val="20"/>
          <w:szCs w:val="20"/>
          <w:color w:val="auto"/>
        </w:rPr>
      </w:pPr>
    </w:p>
    <w:p>
      <w:pPr>
        <w:ind w:left="3924"/>
        <w:spacing w:after="0"/>
        <w:rPr>
          <w:sz w:val="20"/>
          <w:szCs w:val="20"/>
          <w:color w:val="auto"/>
        </w:rPr>
      </w:pPr>
      <w:r>
        <w:rPr>
          <w:rFonts w:ascii="Times New Roman" w:cs="Times New Roman" w:eastAsia="Times New Roman" w:hAnsi="Times New Roman"/>
          <w:sz w:val="18"/>
          <w:szCs w:val="18"/>
          <w:u w:val="single" w:color="auto"/>
          <w:color w:val="auto"/>
        </w:rPr>
        <w:t>FOR ASSIGNMENT AND ASSUMPTION</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 Representations and Warranties.</w:t>
      </w:r>
    </w:p>
    <w:p>
      <w:pPr>
        <w:spacing w:after="0" w:line="225" w:lineRule="exact"/>
        <w:rPr>
          <w:sz w:val="20"/>
          <w:szCs w:val="20"/>
          <w:color w:val="auto"/>
        </w:rPr>
      </w:pPr>
    </w:p>
    <w:p>
      <w:pPr>
        <w:ind w:left="4" w:right="1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Borrower, any of its Subsidiaries or Affiliates or any other Person obligated in respect of any loan document or (iv) the performance or observance by Borrower, any of its Subsidiaries or Affiliates or any other Person of any of their respective obligations under any loan document.</w:t>
      </w:r>
    </w:p>
    <w:p>
      <w:pPr>
        <w:spacing w:after="0" w:line="189" w:lineRule="exact"/>
        <w:rPr>
          <w:sz w:val="20"/>
          <w:szCs w:val="20"/>
          <w:color w:val="auto"/>
        </w:rPr>
      </w:pPr>
    </w:p>
    <w:p>
      <w:pPr>
        <w:ind w:left="4" w:right="60" w:firstLine="440"/>
        <w:spacing w:after="0" w:line="276"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Assignee</w:t>
      </w:r>
      <w:r>
        <w:rPr>
          <w:rFonts w:ascii="Times New Roman" w:cs="Times New Roman" w:eastAsia="Times New Roman" w:hAnsi="Times New Roman"/>
          <w:sz w:val="17"/>
          <w:szCs w:val="17"/>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w:t>
      </w:r>
    </w:p>
    <w:p>
      <w:pPr>
        <w:spacing w:after="0" w:line="1" w:lineRule="exact"/>
        <w:rPr>
          <w:sz w:val="20"/>
          <w:szCs w:val="20"/>
          <w:color w:val="auto"/>
        </w:rPr>
      </w:pPr>
    </w:p>
    <w:p>
      <w:pPr>
        <w:ind w:left="4" w:right="80" w:hanging="4"/>
        <w:spacing w:after="0" w:line="250" w:lineRule="auto"/>
        <w:tabs>
          <w:tab w:leader="none" w:pos="26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meets all requirements of an assignee under </w:t>
      </w:r>
      <w:r>
        <w:rPr>
          <w:rFonts w:ascii="Times New Roman" w:cs="Times New Roman" w:eastAsia="Times New Roman" w:hAnsi="Times New Roman"/>
          <w:sz w:val="18"/>
          <w:szCs w:val="18"/>
          <w:u w:val="single" w:color="auto"/>
          <w:color w:val="auto"/>
        </w:rPr>
        <w:t>Section 9.04(b)</w:t>
      </w:r>
      <w:r>
        <w:rPr>
          <w:rFonts w:ascii="Times New Roman" w:cs="Times New Roman" w:eastAsia="Times New Roman" w:hAnsi="Times New Roman"/>
          <w:sz w:val="18"/>
          <w:szCs w:val="18"/>
          <w:color w:val="auto"/>
        </w:rPr>
        <w:t xml:space="preserve"> of the Credit Agreement (subject to receipt of such consents as may be required under the Credit Agreement) as a Lender thereunder and, to the extent of the Assigned Interest, shall have the obligations of a Lender thereunder, (iv) it has received a copy of the Credit Agreement, together with copies of the most recent financial statements delivered pursuant to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Administrative Agent or any other Lender, and (v) if it is a Foreign Lender, attached to the Assignment and Assumption is any documentation required to be delivered by it pursuant to the terms of the Credit Agreement, duly completed and executed by the Assignee; and</w:t>
      </w:r>
    </w:p>
    <w:p>
      <w:pPr>
        <w:spacing w:after="0" w:line="2" w:lineRule="exact"/>
        <w:rPr>
          <w:rFonts w:ascii="Times New Roman" w:cs="Times New Roman" w:eastAsia="Times New Roman" w:hAnsi="Times New Roman"/>
          <w:sz w:val="18"/>
          <w:szCs w:val="18"/>
          <w:color w:val="auto"/>
        </w:rPr>
      </w:pPr>
    </w:p>
    <w:p>
      <w:pPr>
        <w:ind w:left="4" w:right="160" w:hanging="4"/>
        <w:spacing w:after="0" w:line="253" w:lineRule="auto"/>
        <w:tabs>
          <w:tab w:leader="none" w:pos="25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(i) it will, independently and without reliance on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that by the terms of the loan documents are required to be performed by it as a Lender.</w:t>
      </w:r>
    </w:p>
    <w:p>
      <w:pPr>
        <w:spacing w:after="0" w:line="188" w:lineRule="exact"/>
        <w:rPr>
          <w:rFonts w:ascii="Times New Roman" w:cs="Times New Roman" w:eastAsia="Times New Roman" w:hAnsi="Times New Roman"/>
          <w:sz w:val="18"/>
          <w:szCs w:val="18"/>
          <w:color w:val="auto"/>
        </w:rPr>
      </w:pPr>
    </w:p>
    <w:p>
      <w:pPr>
        <w:ind w:left="4" w:right="340" w:firstLine="436"/>
        <w:spacing w:after="0" w:line="266" w:lineRule="auto"/>
        <w:tabs>
          <w:tab w:leader="none" w:pos="62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From and after the Effective Date, Administrative Agent shall make all payments in respect of the Assigned Interest (including payments of principal, interest, fees and other amounts) to the Assignor for amounts that have accrued to but excluding the Effective Date and to the Assignee for amounts that have accrued from and after the Effective Date.</w:t>
      </w:r>
    </w:p>
    <w:p>
      <w:pPr>
        <w:spacing w:after="0" w:line="175" w:lineRule="exact"/>
        <w:rPr>
          <w:rFonts w:ascii="Times New Roman" w:cs="Times New Roman" w:eastAsia="Times New Roman" w:hAnsi="Times New Roman"/>
          <w:sz w:val="18"/>
          <w:szCs w:val="18"/>
          <w:color w:val="auto"/>
        </w:rPr>
      </w:pPr>
    </w:p>
    <w:p>
      <w:pPr>
        <w:ind w:left="4" w:right="160" w:firstLine="436"/>
        <w:spacing w:after="0" w:line="258" w:lineRule="auto"/>
        <w:tabs>
          <w:tab w:leader="none" w:pos="62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laws of the State of New York.</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270" w:right="4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BORROWING REQUEST</w:t>
      </w:r>
    </w:p>
    <w:p>
      <w:pPr>
        <w:spacing w:after="0" w:line="229"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Dated __________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194310</wp:posOffset>
            </wp:positionV>
            <wp:extent cx="7715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2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__________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This Borrowing Request is delivered to you by Enterprise Products Operating LLC (the “Borrower”), a Texas limited liability company, under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of the 364-Day Revolving Credit Agreement dated as of March 27, 2026 (as restated, amended, modified, supplemented and in effect, the “Credit Agreement”), by and among the Borrower, the Lenders party thereto, and Citibank, N.A., as Administrative Agent.</w:t>
      </w:r>
    </w:p>
    <w:p>
      <w:pPr>
        <w:spacing w:after="0" w:line="176" w:lineRule="exact"/>
        <w:rPr>
          <w:sz w:val="20"/>
          <w:szCs w:val="20"/>
          <w:color w:val="auto"/>
        </w:rPr>
      </w:pPr>
    </w:p>
    <w:p>
      <w:pPr>
        <w:ind w:left="4" w:right="220" w:firstLine="436"/>
        <w:spacing w:after="0" w:line="296" w:lineRule="auto"/>
        <w:tabs>
          <w:tab w:leader="none" w:pos="62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requests that the Lenders make a Loan or Loans in the aggregate principal amount of $______________ (the “Loan” or the “Loans”).</w:t>
      </w:r>
      <w:r>
        <w:rPr>
          <w:rFonts w:ascii="Times New Roman" w:cs="Times New Roman" w:eastAsia="Times New Roman" w:hAnsi="Times New Roman"/>
          <w:sz w:val="26"/>
          <w:szCs w:val="26"/>
          <w:u w:val="single" w:color="auto"/>
          <w:color w:val="auto"/>
          <w:vertAlign w:val="superscript"/>
        </w:rPr>
        <w:t>1</w:t>
      </w:r>
      <w:r>
        <w:rPr>
          <w:rFonts w:ascii="Times New Roman" w:cs="Times New Roman" w:eastAsia="Times New Roman" w:hAnsi="Times New Roman"/>
          <w:sz w:val="26"/>
          <w:szCs w:val="26"/>
          <w:color w:val="auto"/>
          <w:vertAlign w:val="superscript"/>
        </w:rPr>
        <w:t>/</w:t>
      </w:r>
    </w:p>
    <w:p>
      <w:pPr>
        <w:spacing w:after="0" w:line="23"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hereby requests that the Loan or Loans be made on the following Business Day: </w:t>
      </w:r>
      <w:r>
        <w:rPr>
          <w:rFonts w:ascii="Times New Roman" w:cs="Times New Roman" w:eastAsia="Times New Roman" w:hAnsi="Times New Roman"/>
          <w:sz w:val="26"/>
          <w:szCs w:val="26"/>
          <w:u w:val="single" w:color="auto"/>
          <w:color w:val="auto"/>
          <w:vertAlign w:val="superscript"/>
        </w:rPr>
        <w:t>2</w:t>
      </w:r>
      <w:r>
        <w:rPr>
          <w:rFonts w:ascii="Times New Roman" w:cs="Times New Roman" w:eastAsia="Times New Roman" w:hAnsi="Times New Roman"/>
          <w:sz w:val="26"/>
          <w:szCs w:val="26"/>
          <w:color w:val="auto"/>
          <w:vertAlign w:val="superscript"/>
        </w:rPr>
        <w:t>/</w:t>
      </w:r>
    </w:p>
    <w:p>
      <w:pPr>
        <w:spacing w:after="0" w:line="131"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hereby requests that the Loan or Loans bear interest at the following interest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Applicable Rate, as set forth below:</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Type of</w:t>
            </w:r>
          </w:p>
        </w:tc>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Interest Period</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Date for</w:t>
            </w:r>
          </w:p>
        </w:tc>
        <w:tc>
          <w:tcPr>
            <w:tcW w:w="0" w:type="dxa"/>
            <w:vAlign w:val="bottom"/>
          </w:tcPr>
          <w:p>
            <w:pPr>
              <w:spacing w:after="0"/>
              <w:rPr>
                <w:sz w:val="1"/>
                <w:szCs w:val="1"/>
                <w:color w:val="auto"/>
              </w:rPr>
            </w:pPr>
          </w:p>
        </w:tc>
      </w:tr>
      <w:tr>
        <w:trPr>
          <w:trHeight w:val="148"/>
        </w:trPr>
        <w:tc>
          <w:tcPr>
            <w:tcW w:w="2440" w:type="dxa"/>
            <w:vAlign w:val="bottom"/>
            <w:gridSpan w:val="2"/>
            <w:vMerge w:val="continue"/>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Component of</w:t>
            </w:r>
          </w:p>
        </w:tc>
        <w:tc>
          <w:tcPr>
            <w:tcW w:w="2200" w:type="dxa"/>
            <w:vAlign w:val="bottom"/>
            <w:gridSpan w:val="2"/>
            <w:vMerge w:val="continue"/>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Interest Period</w:t>
            </w:r>
          </w:p>
        </w:tc>
        <w:tc>
          <w:tcPr>
            <w:tcW w:w="0" w:type="dxa"/>
            <w:vAlign w:val="bottom"/>
          </w:tcPr>
          <w:p>
            <w:pPr>
              <w:spacing w:after="0"/>
              <w:rPr>
                <w:sz w:val="1"/>
                <w:szCs w:val="1"/>
                <w:color w:val="auto"/>
              </w:rPr>
            </w:pPr>
          </w:p>
        </w:tc>
      </w:tr>
      <w:tr>
        <w:trPr>
          <w:trHeight w:val="180"/>
        </w:trPr>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Loan</w:t>
            </w:r>
          </w:p>
        </w:tc>
        <w:tc>
          <w:tcPr>
            <w:tcW w:w="212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Loan</w:t>
            </w:r>
          </w:p>
        </w:tc>
        <w:tc>
          <w:tcPr>
            <w:tcW w:w="1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1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(if applicable)</w:t>
            </w:r>
          </w:p>
        </w:tc>
        <w:tc>
          <w:tcPr>
            <w:tcW w:w="100" w:type="dxa"/>
            <w:vAlign w:val="bottom"/>
          </w:tcPr>
          <w:p>
            <w:pPr>
              <w:spacing w:after="0"/>
              <w:rPr>
                <w:sz w:val="15"/>
                <w:szCs w:val="15"/>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(if applicable)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24" w:hanging="184"/>
        <w:spacing w:after="0"/>
        <w:tabs>
          <w:tab w:leader="none" w:pos="624"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requests that the funds from the Loan or Loans be disbursed to the following bank account:</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w:t>
      </w:r>
    </w:p>
    <w:p>
      <w:pPr>
        <w:spacing w:after="0" w:line="10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Complete with an amount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of the Credit Agreement.</w:t>
      </w:r>
    </w:p>
    <w:p>
      <w:pPr>
        <w:spacing w:after="0" w:line="1" w:lineRule="exact"/>
        <w:rPr>
          <w:rFonts w:ascii="Times New Roman" w:cs="Times New Roman" w:eastAsia="Times New Roman" w:hAnsi="Times New Roman"/>
          <w:sz w:val="27"/>
          <w:szCs w:val="27"/>
          <w:color w:val="auto"/>
          <w:vertAlign w:val="superscript"/>
        </w:rPr>
      </w:pPr>
    </w:p>
    <w:p>
      <w:pPr>
        <w:ind w:left="424" w:hanging="424"/>
        <w:spacing w:after="0" w:line="186" w:lineRule="auto"/>
        <w:tabs>
          <w:tab w:leader="none" w:pos="424" w:val="left"/>
        </w:tabs>
        <w:numPr>
          <w:ilvl w:val="0"/>
          <w:numId w:val="10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 xml:space="preserve">Complete with a Business Day in accordance with </w:t>
      </w:r>
      <w:r>
        <w:rPr>
          <w:rFonts w:ascii="Times New Roman" w:cs="Times New Roman" w:eastAsia="Times New Roman" w:hAnsi="Times New Roman"/>
          <w:sz w:val="16"/>
          <w:szCs w:val="16"/>
          <w:u w:val="single" w:color="auto"/>
          <w:color w:val="auto"/>
        </w:rPr>
        <w:t>Section 2.03</w:t>
      </w:r>
      <w:r>
        <w:rPr>
          <w:rFonts w:ascii="Times New Roman" w:cs="Times New Roman" w:eastAsia="Times New Roman" w:hAnsi="Times New Roman"/>
          <w:sz w:val="16"/>
          <w:szCs w:val="16"/>
          <w:color w:val="auto"/>
        </w:rPr>
        <w:t xml:space="preserve">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-299085</wp:posOffset>
            </wp:positionV>
            <wp:extent cx="7715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266" w:right="439" w:bottom="1440" w:gutter="0" w:footer="0" w:header="0"/>
        </w:sectPr>
      </w:pPr>
    </w:p>
    <w:bookmarkStart w:id="111" w:name="page112"/>
    <w:bookmarkEnd w:id="111"/>
    <w:p>
      <w:pPr>
        <w:ind w:left="-120" w:right="300" w:firstLine="436"/>
        <w:spacing w:after="0" w:line="282" w:lineRule="auto"/>
        <w:tabs>
          <w:tab w:leader="none" w:pos="5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After giving effect to the requested Loan, the sum of the Exposures (including the requested Loans) does not exceed the maximum amount permitted to be outstanding pursuant to the terms of the Credit Agreement.</w:t>
      </w:r>
    </w:p>
    <w:p>
      <w:pPr>
        <w:spacing w:after="0" w:line="161" w:lineRule="exact"/>
        <w:rPr>
          <w:rFonts w:ascii="Times New Roman" w:cs="Times New Roman" w:eastAsia="Times New Roman" w:hAnsi="Times New Roman"/>
          <w:sz w:val="18"/>
          <w:szCs w:val="18"/>
          <w:color w:val="auto"/>
        </w:rPr>
      </w:pPr>
    </w:p>
    <w:p>
      <w:pPr>
        <w:ind w:left="-120" w:firstLine="436"/>
        <w:spacing w:after="0" w:line="282" w:lineRule="auto"/>
        <w:tabs>
          <w:tab w:leader="none" w:pos="5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conditions applicable to the Loans requested herein as set forth in the Credit Agreement have been satisfied as of the date hereof and will remain satisfied to the date of such Loans.</w:t>
      </w:r>
    </w:p>
    <w:p>
      <w:pPr>
        <w:spacing w:after="0" w:line="161" w:lineRule="exact"/>
        <w:rPr>
          <w:rFonts w:ascii="Times New Roman" w:cs="Times New Roman" w:eastAsia="Times New Roman" w:hAnsi="Times New Roman"/>
          <w:sz w:val="18"/>
          <w:szCs w:val="18"/>
          <w:color w:val="auto"/>
        </w:rPr>
      </w:pPr>
    </w:p>
    <w:p>
      <w:pPr>
        <w:ind w:left="500" w:hanging="184"/>
        <w:spacing w:after="0"/>
        <w:tabs>
          <w:tab w:leader="none" w:pos="5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capitalized undefined terms used herein have the meanings assigned thereto in the Credit Agreement.</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WITNESS WHEREOF, the undersigned have executed this Borrowing Request this _____ day of _______________, ______.</w:t>
      </w:r>
    </w:p>
    <w:p>
      <w:pPr>
        <w:spacing w:after="0" w:line="25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ENTERPRISE PRODUCTS OPERATING LLC</w:t>
      </w:r>
    </w:p>
    <w:p>
      <w:pPr>
        <w:spacing w:after="0" w:line="22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By: Enterprise Products OLPGP, Inc.,</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its Manager</w:t>
      </w:r>
    </w:p>
    <w:p>
      <w:pPr>
        <w:spacing w:after="0" w:line="20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5628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80"/>
          </w:cols>
          <w:pgMar w:left="560" w:top="270" w:right="55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00" w:lineRule="exact"/>
        <w:rPr>
          <w:sz w:val="20"/>
          <w:szCs w:val="20"/>
          <w:color w:val="auto"/>
        </w:rPr>
      </w:pPr>
    </w:p>
    <w:p>
      <w:pPr>
        <w:spacing w:after="0" w:line="24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OF</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INTEREST ELECTION REQUEST</w:t>
      </w:r>
    </w:p>
    <w:p>
      <w:pPr>
        <w:spacing w:after="0" w:line="207" w:lineRule="exact"/>
        <w:rPr>
          <w:sz w:val="20"/>
          <w:szCs w:val="20"/>
          <w:color w:val="auto"/>
        </w:rPr>
      </w:pPr>
    </w:p>
    <w:p>
      <w:pPr>
        <w:ind w:left="4684"/>
        <w:spacing w:after="0"/>
        <w:rPr>
          <w:sz w:val="20"/>
          <w:szCs w:val="20"/>
          <w:color w:val="auto"/>
        </w:rPr>
      </w:pPr>
      <w:r>
        <w:rPr>
          <w:rFonts w:ascii="Times New Roman" w:cs="Times New Roman" w:eastAsia="Times New Roman" w:hAnsi="Times New Roman"/>
          <w:sz w:val="18"/>
          <w:szCs w:val="18"/>
          <w:color w:val="auto"/>
        </w:rPr>
        <w:t>Dated _____________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194310</wp:posOffset>
            </wp:positionV>
            <wp:extent cx="7715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2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__________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This irrevocable Interest Election Request (the “Request”) is delivered to you under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of the 364-Day Revolving Credit Agreement dated as of March 27, 2026 (as restated, amended, modified, supplemented and in effect from time to time, the “Credit Agreement”), by and among Enterprise Products Operating LLC, a Texas limited liability company (the “Company”), the Lenders party thereto (the “Lenders”), and Citibank, N.A., as Administrative Agent.</w:t>
      </w:r>
    </w:p>
    <w:p>
      <w:pPr>
        <w:spacing w:after="0" w:line="180" w:lineRule="exact"/>
        <w:rPr>
          <w:sz w:val="20"/>
          <w:szCs w:val="20"/>
          <w:color w:val="auto"/>
        </w:rPr>
      </w:pPr>
    </w:p>
    <w:p>
      <w:pPr>
        <w:ind w:left="624" w:hanging="184"/>
        <w:spacing w:after="0"/>
        <w:tabs>
          <w:tab w:leader="none" w:pos="624"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Interest Election Request is submitted for the purpose of:</w:t>
      </w:r>
    </w:p>
    <w:p>
      <w:pPr>
        <w:spacing w:after="0" w:line="117" w:lineRule="exact"/>
        <w:rPr>
          <w:rFonts w:ascii="Times New Roman" w:cs="Times New Roman" w:eastAsia="Times New Roman" w:hAnsi="Times New Roman"/>
          <w:sz w:val="18"/>
          <w:szCs w:val="18"/>
          <w:color w:val="auto"/>
        </w:rPr>
      </w:pPr>
    </w:p>
    <w:p>
      <w:pPr>
        <w:ind w:left="1104" w:hanging="241"/>
        <w:spacing w:after="0"/>
        <w:tabs>
          <w:tab w:leader="none" w:pos="1104"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[Converting] [Continuing] a ____________ Loan [into] [as] a ____________ Loan.</w:t>
      </w:r>
      <w:r>
        <w:rPr>
          <w:rFonts w:ascii="Times New Roman" w:cs="Times New Roman" w:eastAsia="Times New Roman" w:hAnsi="Times New Roman"/>
          <w:sz w:val="26"/>
          <w:szCs w:val="26"/>
          <w:u w:val="single" w:color="auto"/>
          <w:color w:val="auto"/>
          <w:vertAlign w:val="superscript"/>
        </w:rPr>
        <w:t>1</w:t>
      </w:r>
      <w:r>
        <w:rPr>
          <w:rFonts w:ascii="Times New Roman" w:cs="Times New Roman" w:eastAsia="Times New Roman" w:hAnsi="Times New Roman"/>
          <w:sz w:val="26"/>
          <w:szCs w:val="26"/>
          <w:color w:val="auto"/>
          <w:vertAlign w:val="superscript"/>
        </w:rPr>
        <w:t>/</w:t>
      </w:r>
    </w:p>
    <w:p>
      <w:pPr>
        <w:spacing w:after="0" w:line="45"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outstanding principal balance of such Loan is $______________.</w:t>
      </w:r>
    </w:p>
    <w:p>
      <w:pPr>
        <w:spacing w:after="0" w:line="97" w:lineRule="exact"/>
        <w:rPr>
          <w:rFonts w:ascii="Times New Roman" w:cs="Times New Roman" w:eastAsia="Times New Roman" w:hAnsi="Times New Roman"/>
          <w:sz w:val="18"/>
          <w:szCs w:val="18"/>
          <w:color w:val="auto"/>
        </w:rPr>
      </w:pPr>
    </w:p>
    <w:p>
      <w:pPr>
        <w:ind w:left="1104" w:hanging="241"/>
        <w:spacing w:after="0"/>
        <w:tabs>
          <w:tab w:leader="none" w:pos="1104"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current Interest Period for such Loan is _____________.</w:t>
      </w:r>
      <w:r>
        <w:rPr>
          <w:rFonts w:ascii="Times New Roman" w:cs="Times New Roman" w:eastAsia="Times New Roman" w:hAnsi="Times New Roman"/>
          <w:sz w:val="26"/>
          <w:szCs w:val="26"/>
          <w:u w:val="single" w:color="auto"/>
          <w:color w:val="auto"/>
          <w:vertAlign w:val="superscript"/>
        </w:rPr>
        <w:t>2</w:t>
      </w:r>
      <w:r>
        <w:rPr>
          <w:rFonts w:ascii="Times New Roman" w:cs="Times New Roman" w:eastAsia="Times New Roman" w:hAnsi="Times New Roman"/>
          <w:sz w:val="26"/>
          <w:szCs w:val="26"/>
          <w:color w:val="auto"/>
          <w:vertAlign w:val="superscript"/>
        </w:rPr>
        <w:t>/</w:t>
      </w:r>
    </w:p>
    <w:p>
      <w:pPr>
        <w:spacing w:after="0" w:line="45"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such Loan to be [converted] [continued] is $_____________.</w:t>
      </w:r>
      <w:r>
        <w:rPr>
          <w:rFonts w:ascii="Times New Roman" w:cs="Times New Roman" w:eastAsia="Times New Roman" w:hAnsi="Times New Roman"/>
          <w:sz w:val="26"/>
          <w:szCs w:val="26"/>
          <w:u w:val="single" w:color="auto"/>
          <w:color w:val="auto"/>
          <w:vertAlign w:val="superscript"/>
        </w:rPr>
        <w:t>3</w:t>
      </w:r>
      <w:r>
        <w:rPr>
          <w:rFonts w:ascii="Times New Roman" w:cs="Times New Roman" w:eastAsia="Times New Roman" w:hAnsi="Times New Roman"/>
          <w:sz w:val="26"/>
          <w:szCs w:val="26"/>
          <w:color w:val="auto"/>
          <w:vertAlign w:val="superscript"/>
        </w:rPr>
        <w:t>/</w:t>
      </w:r>
    </w:p>
    <w:p>
      <w:pPr>
        <w:spacing w:after="0" w:line="25" w:lineRule="exact"/>
        <w:rPr>
          <w:rFonts w:ascii="Times New Roman" w:cs="Times New Roman" w:eastAsia="Times New Roman" w:hAnsi="Times New Roman"/>
          <w:sz w:val="18"/>
          <w:szCs w:val="18"/>
          <w:color w:val="auto"/>
        </w:rPr>
      </w:pPr>
    </w:p>
    <w:p>
      <w:pPr>
        <w:ind w:left="1104" w:hanging="241"/>
        <w:spacing w:after="0"/>
        <w:tabs>
          <w:tab w:leader="none" w:pos="1104"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requested effective date of the [conversion] [continuation] of such Loan is _______________.</w:t>
      </w:r>
      <w:r>
        <w:rPr>
          <w:rFonts w:ascii="Times New Roman" w:cs="Times New Roman" w:eastAsia="Times New Roman" w:hAnsi="Times New Roman"/>
          <w:sz w:val="26"/>
          <w:szCs w:val="26"/>
          <w:u w:val="single" w:color="auto"/>
          <w:color w:val="auto"/>
          <w:vertAlign w:val="superscript"/>
        </w:rPr>
        <w:t>4</w:t>
      </w:r>
      <w:r>
        <w:rPr>
          <w:rFonts w:ascii="Times New Roman" w:cs="Times New Roman" w:eastAsia="Times New Roman" w:hAnsi="Times New Roman"/>
          <w:sz w:val="26"/>
          <w:szCs w:val="26"/>
          <w:color w:val="auto"/>
          <w:vertAlign w:val="superscript"/>
        </w:rPr>
        <w:t>/</w:t>
      </w:r>
    </w:p>
    <w:p>
      <w:pPr>
        <w:spacing w:after="0" w:line="25" w:lineRule="exact"/>
        <w:rPr>
          <w:rFonts w:ascii="Times New Roman" w:cs="Times New Roman" w:eastAsia="Times New Roman" w:hAnsi="Times New Roman"/>
          <w:sz w:val="18"/>
          <w:szCs w:val="18"/>
          <w:color w:val="auto"/>
        </w:rPr>
      </w:pPr>
    </w:p>
    <w:p>
      <w:pPr>
        <w:ind w:left="1084" w:hanging="221"/>
        <w:spacing w:after="0"/>
        <w:tabs>
          <w:tab w:leader="none" w:pos="1084"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requested Interest Period applicable to the [converted] [continued] Loan is ____________________.</w:t>
      </w:r>
      <w:r>
        <w:rPr>
          <w:rFonts w:ascii="Times New Roman" w:cs="Times New Roman" w:eastAsia="Times New Roman" w:hAnsi="Times New Roman"/>
          <w:sz w:val="26"/>
          <w:szCs w:val="26"/>
          <w:u w:val="single" w:color="auto"/>
          <w:color w:val="auto"/>
          <w:vertAlign w:val="superscript"/>
        </w:rPr>
        <w:t>5</w:t>
      </w:r>
      <w:r>
        <w:rPr>
          <w:rFonts w:ascii="Times New Roman" w:cs="Times New Roman" w:eastAsia="Times New Roman" w:hAnsi="Times New Roman"/>
          <w:sz w:val="26"/>
          <w:szCs w:val="26"/>
          <w:color w:val="auto"/>
          <w:vertAlign w:val="superscript"/>
        </w:rPr>
        <w:t>/</w:t>
      </w:r>
    </w:p>
    <w:p>
      <w:pPr>
        <w:spacing w:after="0" w:line="8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Delete the bracketed language and insert “ABR” or “SOFR”, as applicable, in each blank.</w:t>
      </w:r>
    </w:p>
    <w:p>
      <w:pPr>
        <w:spacing w:after="0" w:line="2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Insert applicable date for any SOFR Loan being converted or continued.</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Complete with an amount in compliance with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of the Credit Agreement.</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Complete with a Business Day in compliance with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of the Credit Agreement.</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Complete for each SOFR Loan in compliance with the definition of the term “Interest Period” specified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-704850</wp:posOffset>
            </wp:positionV>
            <wp:extent cx="7715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266" w:right="439" w:bottom="1440" w:gutter="0" w:footer="0" w:header="0"/>
        </w:sectPr>
      </w:pPr>
    </w:p>
    <w:bookmarkStart w:id="113" w:name="page114"/>
    <w:bookmarkEnd w:id="113"/>
    <w:p>
      <w:pPr>
        <w:ind w:left="-320" w:firstLine="436"/>
        <w:spacing w:after="0" w:line="282" w:lineRule="auto"/>
        <w:tabs>
          <w:tab w:leader="none" w:pos="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respect to a Borrowing to be converted to or continued as a SOFR Borrowing, no Event of Default exists, and none will exist upon the conversion or continuation of the Borrowing requested herein.</w:t>
      </w:r>
    </w:p>
    <w:p>
      <w:pPr>
        <w:spacing w:after="0" w:line="161" w:lineRule="exact"/>
        <w:rPr>
          <w:rFonts w:ascii="Times New Roman" w:cs="Times New Roman" w:eastAsia="Times New Roman" w:hAnsi="Times New Roman"/>
          <w:sz w:val="18"/>
          <w:szCs w:val="18"/>
          <w:color w:val="auto"/>
        </w:rPr>
      </w:pPr>
    </w:p>
    <w:p>
      <w:pPr>
        <w:ind w:left="300" w:hanging="184"/>
        <w:spacing w:after="0"/>
        <w:tabs>
          <w:tab w:leader="none" w:pos="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capitalized undefined terms used herein have the meanings assigned thereto in the Credit Agreement.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WITNESS WHEREOF, the undersigned has executed this Interest Election Request this _____ day of ___________________, ____.</w:t>
      </w:r>
    </w:p>
    <w:p>
      <w:pPr>
        <w:spacing w:after="0" w:line="25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ENTERPRISE PRODUCTS OPERATING LLC</w:t>
      </w:r>
    </w:p>
    <w:p>
      <w:pPr>
        <w:spacing w:after="0" w:line="225"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By: Enterprise Products OLPGP, Inc.,</w:t>
      </w:r>
    </w:p>
    <w:p>
      <w:pPr>
        <w:spacing w:after="0" w:line="2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its Manager</w:t>
      </w:r>
    </w:p>
    <w:p>
      <w:pPr>
        <w:spacing w:after="0" w:line="20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4225925</wp:posOffset>
            </wp:positionH>
            <wp:positionV relativeFrom="paragraph">
              <wp:posOffset>17145</wp:posOffset>
            </wp:positionV>
            <wp:extent cx="25628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360"/>
          </w:cols>
          <w:pgMar w:left="760" w:top="270" w:right="77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D-1 and D-2</w:t>
      </w:r>
    </w:p>
    <w:p>
      <w:pPr>
        <w:spacing w:after="0" w:line="200" w:lineRule="exact"/>
        <w:rPr>
          <w:sz w:val="20"/>
          <w:szCs w:val="20"/>
          <w:color w:val="auto"/>
        </w:rPr>
      </w:pPr>
    </w:p>
    <w:p>
      <w:pPr>
        <w:spacing w:after="0" w:line="24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FORMS OF</w:t>
      </w:r>
    </w:p>
    <w:p>
      <w:pPr>
        <w:spacing w:after="0" w:line="225"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OPINIONS OF COUNSEL FOR BORROWER AND EPD</w:t>
      </w:r>
    </w:p>
    <w:p>
      <w:pPr>
        <w:sectPr>
          <w:pgSz w:w="11900" w:h="16838" w:orient="portrait"/>
          <w:cols w:equalWidth="0" w:num="1">
            <w:col w:w="10020"/>
          </w:cols>
          <w:pgMar w:left="1440" w:top="266" w:right="4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COMPLIANCE CERTIFICATE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hereby certifies that he is the _______________________ of ENTERPRISE PRODUCTS OLPGP, INC. a Delaware corporation,</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manager of ENTERPRISE PRODUCTS OPERATING LLC, a Texas limited liability company (the “Borrower”), and that as such he is authorized to execute this certificate on behalf of the Borrower. With reference to the 364-Day Revolving Credit Agreement dated as of March 27, 2026 (as restated, amended, modified, supplemented and in effect from time to time, the “Agreement”), among the Borrower, Citibank, N.A., as Administrative Agent, for the lenders (the “Lenders”), which are or become a party thereto, and such Lenders, the undersigned represents and warrants as follows (each capitalized term used herein having the same meaning given to it in the Agreement unless otherwise specified);</w:t>
      </w:r>
    </w:p>
    <w:p>
      <w:pPr>
        <w:spacing w:after="0" w:line="79" w:lineRule="exact"/>
        <w:rPr>
          <w:sz w:val="20"/>
          <w:szCs w:val="20"/>
          <w:color w:val="auto"/>
        </w:rPr>
      </w:pPr>
    </w:p>
    <w:p>
      <w:pPr>
        <w:ind w:left="440" w:right="40" w:hanging="4"/>
        <w:spacing w:after="0" w:line="282" w:lineRule="auto"/>
        <w:tabs>
          <w:tab w:leader="none" w:pos="68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currently does not exist any Default under the Agreement.] [Attached hereto is a schedule specifying the details of [a] certain Default[s] which exist under the Agreement and the action taken or proposed to be taken with respect thereto.]</w:t>
      </w:r>
    </w:p>
    <w:p>
      <w:pPr>
        <w:spacing w:after="0" w:line="53" w:lineRule="exact"/>
        <w:rPr>
          <w:rFonts w:ascii="Times New Roman" w:cs="Times New Roman" w:eastAsia="Times New Roman" w:hAnsi="Times New Roman"/>
          <w:sz w:val="18"/>
          <w:szCs w:val="18"/>
          <w:color w:val="auto"/>
        </w:rPr>
      </w:pPr>
    </w:p>
    <w:p>
      <w:pPr>
        <w:ind w:left="440" w:right="720" w:hanging="4"/>
        <w:spacing w:after="0" w:line="282" w:lineRule="auto"/>
        <w:tabs>
          <w:tab w:leader="none" w:pos="69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are the detailed computations necessary to determine whether the Borrower is in compliance with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of the Agreement as of the end of the [fiscal quarter][fiscal year] ending ________________.</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EXECUTED AND DELIVERED this ____ day of _________________, 20__.</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ENTERPRISE PRODUCTS OPERATING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Enterprise Products OLPGP, Inc.,</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its Manager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1020"/>
          </w:cols>
          <w:pgMar w:left="440" w:top="266" w:right="439" w:bottom="1440" w:gutter="0" w:footer="0" w:header="0"/>
        </w:sectPr>
      </w:pPr>
    </w:p>
    <w:bookmarkStart w:id="116" w:name="page117"/>
    <w:bookmarkEnd w:id="116"/>
    <w:p>
      <w:pPr>
        <w:ind w:left="100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F</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OF</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NOTE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(364-Day Revolving Credit Facility)</w:t>
      </w:r>
    </w:p>
    <w:p>
      <w:pPr>
        <w:sectPr>
          <w:pgSz w:w="11900" w:h="16838" w:orient="portrait"/>
          <w:cols w:equalWidth="0" w:num="1">
            <w:col w:w="11020"/>
          </w:cols>
          <w:pgMar w:left="440" w:top="266" w:right="439" w:bottom="1440"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 202__</w:t>
      </w:r>
    </w:p>
    <w:p>
      <w:pPr>
        <w:spacing w:after="0" w:line="200" w:lineRule="exact"/>
        <w:rPr>
          <w:sz w:val="20"/>
          <w:szCs w:val="20"/>
          <w:color w:val="auto"/>
        </w:rPr>
      </w:pPr>
    </w:p>
    <w:p>
      <w:pPr>
        <w:sectPr>
          <w:pgSz w:w="11900" w:h="16838" w:orient="portrait"/>
          <w:cols w:equalWidth="0" w:num="2">
            <w:col w:w="9120" w:space="720"/>
            <w:col w:w="1180"/>
          </w:cols>
          <w:pgMar w:left="440" w:top="266" w:right="439" w:bottom="1440" w:gutter="0" w:footer="0" w:header="0"/>
          <w:type w:val="continuous"/>
        </w:sectPr>
      </w:pPr>
    </w:p>
    <w:p>
      <w:pPr>
        <w:spacing w:after="0" w:line="25"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ENTERPRISE PRODUCTS OPERATING LLC, a Texas limited liability company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for value received, promises and agrees to pay to ______________________________ (the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or order, at the payment office of CITIBANK, N.A., as Administrative Agent, at</w:t>
      </w:r>
    </w:p>
    <w:p>
      <w:pPr>
        <w:spacing w:after="0"/>
        <w:rPr>
          <w:sz w:val="20"/>
          <w:szCs w:val="20"/>
          <w:color w:val="auto"/>
        </w:rPr>
      </w:pPr>
      <w:r>
        <w:rPr>
          <w:rFonts w:ascii="Times New Roman" w:cs="Times New Roman" w:eastAsia="Times New Roman" w:hAnsi="Times New Roman"/>
          <w:sz w:val="18"/>
          <w:szCs w:val="18"/>
          <w:color w:val="auto"/>
        </w:rPr>
        <w:t>__________, the principal sum of ______________________________ AND NO/100 DOLLARS ($_____________), or such lesser amount as shall</w:t>
      </w:r>
    </w:p>
    <w:p>
      <w:pPr>
        <w:spacing w:after="0" w:line="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equal the aggregate unpaid principal amount of the Loans owed to the Lender under the Credit Agreement, as hereafter defined, in lawful money of the United States of America and in immediately available funds, on the dates and in the principal amounts provided in the Credit Agreement, and to pay interest on the unpaid principal amount as provided in the Credit Agreement for such Loans, at such office, in like money and funds, for the period commencing on the date of each such Loan until such Loan shall be paid in full, at the rates per annum and on the dates provided in the Credit Agreement.</w:t>
      </w:r>
    </w:p>
    <w:p>
      <w:pPr>
        <w:spacing w:after="0" w:line="187" w:lineRule="exact"/>
        <w:rPr>
          <w:sz w:val="20"/>
          <w:szCs w:val="20"/>
          <w:color w:val="auto"/>
        </w:rPr>
      </w:pPr>
    </w:p>
    <w:p>
      <w:pPr>
        <w:ind w:right="260" w:firstLine="440"/>
        <w:spacing w:after="0" w:line="258" w:lineRule="auto"/>
        <w:rPr>
          <w:sz w:val="20"/>
          <w:szCs w:val="20"/>
          <w:color w:val="auto"/>
        </w:rPr>
      </w:pPr>
      <w:r>
        <w:rPr>
          <w:rFonts w:ascii="Times New Roman" w:cs="Times New Roman" w:eastAsia="Times New Roman" w:hAnsi="Times New Roman"/>
          <w:sz w:val="18"/>
          <w:szCs w:val="18"/>
          <w:color w:val="auto"/>
        </w:rPr>
        <w:t>This note evidences the Loans owed to the Lender under that certain 364-Day Revolving Credit Agreement dated as of March 27, 2026, by and among the Borrower, Citibank, N.A., individually, as Administrative Agent, and the other financial institutions parties thereto (including the Lender) (such Credit Agreement, together with all amendments or supplements thereto, being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and shall be governed by the Credit Agreement. Capitalized terms used in this note and not defined in this note, but which are defined in the Credit Agreement, have the respective meanings herein as are assigned to them in the Credit Agreement.</w:t>
      </w:r>
    </w:p>
    <w:p>
      <w:pPr>
        <w:spacing w:after="0" w:line="183"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The Lender is hereby authorized by the Borrower to endorse on Schedule A (or a continuation thereof) attached to this note, the Type of each Loan owed to the Lender, the amount and date of each payment or prepayment of principal of each such Loan received by the Lender and the Interest Periods and interest rates applicable to each Loan, provided that any failure by the Lender to make any such endorsement shall not affect the obligations of the Borrower under the Credit Agreement or under this note in respect of such Loans.</w:t>
      </w:r>
    </w:p>
    <w:p>
      <w:pPr>
        <w:spacing w:after="0" w:line="180" w:lineRule="exact"/>
        <w:rPr>
          <w:sz w:val="20"/>
          <w:szCs w:val="20"/>
          <w:color w:val="auto"/>
        </w:rPr>
      </w:pPr>
    </w:p>
    <w:p>
      <w:pPr>
        <w:ind w:right="260" w:firstLine="440"/>
        <w:spacing w:after="0" w:line="312" w:lineRule="auto"/>
        <w:rPr>
          <w:sz w:val="20"/>
          <w:szCs w:val="20"/>
          <w:color w:val="auto"/>
        </w:rPr>
      </w:pPr>
      <w:r>
        <w:rPr>
          <w:rFonts w:ascii="Times New Roman" w:cs="Times New Roman" w:eastAsia="Times New Roman" w:hAnsi="Times New Roman"/>
          <w:sz w:val="17"/>
          <w:szCs w:val="17"/>
          <w:color w:val="auto"/>
        </w:rPr>
        <w:t>This note may be held by the Lender for the account of its applicable lending office and, except as otherwise provided in the Credit Agreement, may be transferred from one lending office of the Lender to another lending office of the Lender from time to time as the Lender may determine.</w:t>
      </w:r>
    </w:p>
    <w:p>
      <w:pPr>
        <w:spacing w:after="0" w:line="140"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Except only for any notices which are specifically required by the Credit Agreement, the Borrower/ and any and all co-makers, endorsers, guarantors and sureties severally waive notice (including but not limited to notice of intent to accelerate and notice of acceleration, notice of protest and notice of dishonor), demand, presentment for payment, protest, diligence in collecting and the filing of suit for the purpose of fixing liability, and consent that the time of payment hereof may be extended and re-extended from time to time without notice to any of them. Each such person agrees that its liability on or with respect to this note shall not be affected by any release of or change in any guaranty or security at any time existing or by any failure to perfect or maintain perfection of any lien against or security interest in any such security or the partial or complete unenforceability of any guaranty or other surety obligation, in each case in whole or in part, with or without notice and before or after maturity.</w:t>
      </w:r>
    </w:p>
    <w:p>
      <w:pPr>
        <w:spacing w:after="0" w:line="1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type w:val="continuous"/>
        </w:sectPr>
      </w:pPr>
    </w:p>
    <w:bookmarkStart w:id="117" w:name="page118"/>
    <w:bookmarkEnd w:id="117"/>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Credit Agreement provides for the acceleration of the maturity of this note upon the occurrence of certain events and for prepayment of Loans upon the terms and conditions specified therein. Reference is made to the Credit Agreement for all other pertinent purposes.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note is issued pursuant to and is entitled to the benefits of the Credit Agreement.</w:t>
      </w:r>
    </w:p>
    <w:p>
      <w:pPr>
        <w:spacing w:after="0" w:line="225"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It is hereby understood and agreed that Enterprise Products OLPGP, Inc., the Manager of the Borrower, shall have no personal liability, as Manager or otherwise, for the payment of any amount owing or to be owing hereunder.</w:t>
      </w:r>
    </w:p>
    <w:p>
      <w:pPr>
        <w:spacing w:after="0" w:line="162"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HIS NOTE SHALL BE CONSTRUED IN ACCORDANCE WITH AND BE GOVERNED BY THE LAW OF THE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TATE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EW</w:t>
      </w:r>
      <w:r>
        <w:rPr>
          <w:rFonts w:ascii="Times New Roman" w:cs="Times New Roman" w:eastAsia="Times New Roman" w:hAnsi="Times New Roman"/>
          <w:sz w:val="18"/>
          <w:szCs w:val="18"/>
          <w:color w:val="auto"/>
        </w:rPr>
        <w:t xml:space="preserve"> Y</w:t>
      </w:r>
      <w:r>
        <w:rPr>
          <w:rFonts w:ascii="Times New Roman" w:cs="Times New Roman" w:eastAsia="Times New Roman" w:hAnsi="Times New Roman"/>
          <w:sz w:val="14"/>
          <w:szCs w:val="14"/>
          <w:color w:val="auto"/>
        </w:rPr>
        <w:t>ORK AND THE</w:t>
      </w:r>
      <w:r>
        <w:rPr>
          <w:rFonts w:ascii="Times New Roman" w:cs="Times New Roman" w:eastAsia="Times New Roman" w:hAnsi="Times New Roman"/>
          <w:sz w:val="18"/>
          <w:szCs w:val="18"/>
          <w:color w:val="auto"/>
        </w:rPr>
        <w:t xml:space="preserve"> U</w:t>
      </w:r>
      <w:r>
        <w:rPr>
          <w:rFonts w:ascii="Times New Roman" w:cs="Times New Roman" w:eastAsia="Times New Roman" w:hAnsi="Times New Roman"/>
          <w:sz w:val="14"/>
          <w:szCs w:val="14"/>
          <w:color w:val="auto"/>
        </w:rPr>
        <w:t>NITED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TATES OF</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MERICA FROM TIME TO TIME IN EFFECT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ENTERPRISE PRODUCTS OPERATING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Enterprise Products OLPGP, Inc.,</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its Manager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w:t>
      </w:r>
    </w:p>
    <w:p>
      <w:pPr>
        <w:spacing w:after="0" w:line="20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This note evidences the Loans owed to the Lender under the Credit Agreement, in the principal amount set forth below and the applicable Interest Periods and rates for each such Loan, subject to the payments of principal set forth below: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LOANS AND PAYMENTS OF PRINCIPAL AND INTEREST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Principal</w:t>
            </w:r>
          </w:p>
        </w:tc>
        <w:tc>
          <w:tcPr>
            <w:tcW w:w="12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Balance</w:t>
            </w:r>
          </w:p>
        </w:tc>
        <w:tc>
          <w:tcPr>
            <w:tcW w:w="12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Notation</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Interest</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Principal</w:t>
            </w:r>
          </w:p>
        </w:tc>
        <w:tc>
          <w:tcPr>
            <w:tcW w:w="12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Interest</w:t>
            </w: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Date</w:t>
            </w:r>
          </w:p>
        </w:tc>
        <w:tc>
          <w:tcPr>
            <w:tcW w:w="2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Rate</w:t>
            </w:r>
          </w:p>
        </w:tc>
        <w:tc>
          <w:tcPr>
            <w:tcW w:w="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Amount of</w:t>
            </w: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Paid or</w:t>
            </w: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Made</w:t>
            </w:r>
          </w:p>
        </w:tc>
        <w:tc>
          <w:tcPr>
            <w:tcW w:w="0" w:type="dxa"/>
            <w:vAlign w:val="bottom"/>
          </w:tcPr>
          <w:p>
            <w:pPr>
              <w:spacing w:after="0"/>
              <w:rPr>
                <w:sz w:val="1"/>
                <w:szCs w:val="1"/>
                <w:color w:val="auto"/>
              </w:rPr>
            </w:pPr>
          </w:p>
        </w:tc>
      </w:tr>
      <w:tr>
        <w:trPr>
          <w:trHeight w:val="188"/>
        </w:trPr>
        <w:tc>
          <w:tcPr>
            <w:tcW w:w="12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Period</w:t>
            </w:r>
          </w:p>
        </w:tc>
        <w:tc>
          <w:tcPr>
            <w:tcW w:w="1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Loan</w:t>
            </w:r>
          </w:p>
        </w:tc>
        <w:tc>
          <w:tcPr>
            <w:tcW w:w="1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Prepaid</w:t>
            </w:r>
          </w:p>
        </w:tc>
        <w:tc>
          <w:tcPr>
            <w:tcW w:w="1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Paid</w:t>
            </w:r>
          </w:p>
        </w:tc>
        <w:tc>
          <w:tcPr>
            <w:tcW w:w="1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Loans</w:t>
            </w:r>
          </w:p>
        </w:tc>
        <w:tc>
          <w:tcPr>
            <w:tcW w:w="1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by</w:t>
            </w:r>
          </w:p>
        </w:tc>
        <w:tc>
          <w:tcPr>
            <w:tcW w:w="0" w:type="dxa"/>
            <w:vAlign w:val="bottom"/>
          </w:tcPr>
          <w:p>
            <w:pPr>
              <w:spacing w:after="0"/>
              <w:rPr>
                <w:sz w:val="1"/>
                <w:szCs w:val="1"/>
                <w:color w:val="auto"/>
              </w:rPr>
            </w:pPr>
          </w:p>
        </w:tc>
      </w:tr>
      <w:tr>
        <w:trPr>
          <w:trHeight w:val="199"/>
        </w:trPr>
        <w:tc>
          <w:tcPr>
            <w:tcW w:w="12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G-1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U.S. TAX COMPLIANCE CERTIFICATE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(FOREIGN LENDERS; NOT PARTNERSHIPS)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Foreign Lenders That Are Not Partnerships For U.S. Federal Income Tax Purposes)</w:t>
      </w:r>
    </w:p>
    <w:p>
      <w:pPr>
        <w:spacing w:after="0" w:line="22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Reference is hereby made to the 364-Day Revolving Credit Agreement dated as of March 27, 2026 (as amended, supplemented, restated,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Enterprise Products Operating LLC, a Texas limited liability company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Citibank, N.A., as Administrative Agent, and the financial institutions from time to time parties thereto as Lenders.</w:t>
      </w:r>
    </w:p>
    <w:p>
      <w:pPr>
        <w:spacing w:after="0" w:line="176"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 xml:space="preserve">Pursuant to the provisions of </w:t>
      </w:r>
      <w:r>
        <w:rPr>
          <w:rFonts w:ascii="Times New Roman" w:cs="Times New Roman" w:eastAsia="Times New Roman" w:hAnsi="Times New Roman"/>
          <w:sz w:val="18"/>
          <w:szCs w:val="18"/>
          <w:u w:val="single" w:color="auto"/>
          <w:color w:val="auto"/>
        </w:rPr>
        <w:t>Section 2.17(e)</w:t>
      </w:r>
      <w:r>
        <w:rPr>
          <w:rFonts w:ascii="Times New Roman" w:cs="Times New Roman" w:eastAsia="Times New Roman" w:hAnsi="Times New Roman"/>
          <w:sz w:val="18"/>
          <w:szCs w:val="18"/>
          <w:color w:val="auto"/>
        </w:rPr>
        <w:t xml:space="preserve">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the Borrower within the meaning of Section 881(c)(3)(B) of the Code and (iv) it is not a controlled foreign corporation related to the Borrower as described in Section 881(c)(3)(C) of the Code.</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undersigned has furnished the Administrative Agent and the Borrower with a certificate of its non-U.S. Person status on IRS Form W-8BEN (or W-8BEN E, as applicable).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 __, 20[__]</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G-1</w:t>
      </w:r>
    </w:p>
    <w:p>
      <w:pPr>
        <w:sectPr>
          <w:pgSz w:w="11900" w:h="16838" w:orient="portrait"/>
          <w:cols w:equalWidth="0" w:num="1">
            <w:col w:w="11020"/>
          </w:cols>
          <w:pgMar w:left="440" w:top="266" w:right="4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G-2</w:t>
      </w:r>
    </w:p>
    <w:p>
      <w:pPr>
        <w:spacing w:after="0" w:line="200" w:lineRule="exact"/>
        <w:rPr>
          <w:sz w:val="20"/>
          <w:szCs w:val="20"/>
          <w:color w:val="auto"/>
        </w:rPr>
      </w:pPr>
    </w:p>
    <w:p>
      <w:pPr>
        <w:spacing w:after="0" w:line="24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FORM OF U.S. TAX COMPLIANCE CERTIFICATE</w:t>
      </w:r>
    </w:p>
    <w:p>
      <w:pPr>
        <w:spacing w:after="0" w:line="3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(FOREIGN PARTICIPANTS; NOT PARTNERSHIPS)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Foreign Participants That Are Not Partnerships For U.S. Federal Income Tax Purposes)</w:t>
      </w:r>
    </w:p>
    <w:p>
      <w:pPr>
        <w:spacing w:after="0" w:line="22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Reference is hereby made to the 364-Day Revolving Credit Agreement dated as of March 27, 2026 (as amended, supplemented, restated,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Enterprise Products Operating LLC, a Texas limited liability company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Citibank, N.A., as Administrative Agent, and the financial institutions from time to time parties thereto as Lenders.</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Pursuant to the provisions of </w:t>
      </w:r>
      <w:r>
        <w:rPr>
          <w:rFonts w:ascii="Times New Roman" w:cs="Times New Roman" w:eastAsia="Times New Roman" w:hAnsi="Times New Roman"/>
          <w:sz w:val="18"/>
          <w:szCs w:val="18"/>
          <w:u w:val="single" w:color="auto"/>
          <w:color w:val="auto"/>
        </w:rPr>
        <w:t>Section 2.17(e)</w:t>
      </w:r>
      <w:r>
        <w:rPr>
          <w:rFonts w:ascii="Times New Roman" w:cs="Times New Roman" w:eastAsia="Times New Roman" w:hAnsi="Times New Roman"/>
          <w:sz w:val="18"/>
          <w:szCs w:val="18"/>
          <w:color w:val="auto"/>
        </w:rPr>
        <w:t xml:space="preserve">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881(c)(3)(B) of the Code, and (iv) it is not a controlled foreign corporation related to the Borrower as described in Section 881(c)(3)(C) of the Code.</w:t>
      </w:r>
    </w:p>
    <w:p>
      <w:pPr>
        <w:spacing w:after="0" w:line="18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a certificate of its non-U.S. Person status on IRS Form W-8BEN (or W 8BEN E, as applicable).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 __, 20[__]</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G-2</w:t>
      </w:r>
    </w:p>
    <w:p>
      <w:pPr>
        <w:sectPr>
          <w:pgSz w:w="11900" w:h="16838" w:orient="portrait"/>
          <w:cols w:equalWidth="0" w:num="1">
            <w:col w:w="11020"/>
          </w:cols>
          <w:pgMar w:left="440" w:top="266" w:right="4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G-3</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U.S. TAX COMPLIANCE CERTIFICATE</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(FOREIGN PARTICIPANTS; PARTNERSHIPS)</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Foreign Participants That Are Partnerships For U.S. Federal Income Tax Purposes)</w:t>
      </w:r>
    </w:p>
    <w:p>
      <w:pPr>
        <w:spacing w:after="0" w:line="225" w:lineRule="exact"/>
        <w:rPr>
          <w:sz w:val="20"/>
          <w:szCs w:val="20"/>
          <w:color w:val="auto"/>
        </w:rPr>
      </w:pPr>
    </w:p>
    <w:p>
      <w:pPr>
        <w:jc w:val="both"/>
        <w:ind w:left="4" w:right="180"/>
        <w:spacing w:after="0" w:line="266" w:lineRule="auto"/>
        <w:rPr>
          <w:sz w:val="20"/>
          <w:szCs w:val="20"/>
          <w:color w:val="auto"/>
        </w:rPr>
      </w:pPr>
      <w:r>
        <w:rPr>
          <w:rFonts w:ascii="Times New Roman" w:cs="Times New Roman" w:eastAsia="Times New Roman" w:hAnsi="Times New Roman"/>
          <w:sz w:val="18"/>
          <w:szCs w:val="18"/>
          <w:color w:val="auto"/>
        </w:rPr>
        <w:t>Reference is hereby made to the 364-Day Revolving Credit Agreement dated as of March 27, 2026 (as amended, supplemented, restated,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Enterprise Products Operating LLC, a Texas limited liability company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Citibank, N.A., as Administrative Agent, and the financial institutions from time to time parties thereto as Lenders.</w:t>
      </w:r>
    </w:p>
    <w:p>
      <w:pPr>
        <w:spacing w:after="0" w:line="176" w:lineRule="exact"/>
        <w:rPr>
          <w:sz w:val="20"/>
          <w:szCs w:val="20"/>
          <w:color w:val="auto"/>
        </w:rPr>
      </w:pPr>
    </w:p>
    <w:p>
      <w:pPr>
        <w:ind w:left="4" w:right="260"/>
        <w:spacing w:after="0" w:line="270" w:lineRule="auto"/>
        <w:rPr>
          <w:sz w:val="20"/>
          <w:szCs w:val="20"/>
          <w:color w:val="auto"/>
        </w:rPr>
      </w:pPr>
      <w:r>
        <w:rPr>
          <w:rFonts w:ascii="Times New Roman" w:cs="Times New Roman" w:eastAsia="Times New Roman" w:hAnsi="Times New Roman"/>
          <w:sz w:val="17"/>
          <w:szCs w:val="17"/>
          <w:color w:val="auto"/>
        </w:rPr>
        <w:t xml:space="preserve">Pursuant to the provisions of </w:t>
      </w:r>
      <w:r>
        <w:rPr>
          <w:rFonts w:ascii="Times New Roman" w:cs="Times New Roman" w:eastAsia="Times New Roman" w:hAnsi="Times New Roman"/>
          <w:sz w:val="17"/>
          <w:szCs w:val="17"/>
          <w:u w:val="single" w:color="auto"/>
          <w:color w:val="auto"/>
        </w:rPr>
        <w:t>Section 2.17(e)</w:t>
      </w:r>
      <w:r>
        <w:rPr>
          <w:rFonts w:ascii="Times New Roman" w:cs="Times New Roman" w:eastAsia="Times New Roman" w:hAnsi="Times New Roman"/>
          <w:sz w:val="17"/>
          <w:szCs w:val="17"/>
          <w:color w:val="auto"/>
        </w:rPr>
        <w:t xml:space="preserve">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w:t>
      </w:r>
    </w:p>
    <w:p>
      <w:pPr>
        <w:spacing w:after="0" w:line="3" w:lineRule="exact"/>
        <w:rPr>
          <w:sz w:val="20"/>
          <w:szCs w:val="20"/>
          <w:color w:val="auto"/>
        </w:rPr>
      </w:pPr>
    </w:p>
    <w:p>
      <w:pPr>
        <w:ind w:left="4" w:right="40" w:hanging="4"/>
        <w:spacing w:after="0" w:line="255" w:lineRule="auto"/>
        <w:tabs>
          <w:tab w:leader="none" w:pos="30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its direct or indirect partners/members is a ten percent shareholder of the Borrower within the meaning of Section 881(c)(3)(B) of the Code and (v) none of its direct or indirect partners/members is a controlled foreign corporation related to the Borrower as described in Section 881(c)(3)(C) of the Code.</w:t>
      </w:r>
    </w:p>
    <w:p>
      <w:pPr>
        <w:spacing w:after="0" w:line="186" w:lineRule="exact"/>
        <w:rPr>
          <w:sz w:val="20"/>
          <w:szCs w:val="20"/>
          <w:color w:val="auto"/>
        </w:rPr>
      </w:pPr>
    </w:p>
    <w:p>
      <w:pPr>
        <w:ind w:left="4" w:right="200"/>
        <w:spacing w:after="0" w:line="255"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IRS Form W-8IMY accompanied by one of the following forms from each of its partners/members that is claiming the portfolio interest exemption: (i) an IRS Form W-8BEN (or W 8BEN E, as applicable) or (ii) an IRS Form W-8IMY accompanied by an IRS Form W-8BEN (or W 8BEN E, as applicable)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________ __, 20[__]</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Exhibit G-3</w:t>
      </w:r>
    </w:p>
    <w:p>
      <w:pPr>
        <w:sectPr>
          <w:pgSz w:w="11900" w:h="16838" w:orient="portrait"/>
          <w:cols w:equalWidth="0" w:num="1">
            <w:col w:w="11024"/>
          </w:cols>
          <w:pgMar w:left="436" w:top="266" w:right="4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G-4</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U.S. TAX COMPLIANCE CERTIFICATE</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(FOREIGN LENDERS; PARTNERSHIPS)</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Foreign Lenders That Are Partnerships For U.S. Federal Income Tax Purposes)</w:t>
      </w:r>
    </w:p>
    <w:p>
      <w:pPr>
        <w:spacing w:after="0" w:line="225" w:lineRule="exact"/>
        <w:rPr>
          <w:sz w:val="20"/>
          <w:szCs w:val="20"/>
          <w:color w:val="auto"/>
        </w:rPr>
      </w:pPr>
    </w:p>
    <w:p>
      <w:pPr>
        <w:jc w:val="both"/>
        <w:ind w:left="4" w:right="180"/>
        <w:spacing w:after="0" w:line="266" w:lineRule="auto"/>
        <w:rPr>
          <w:sz w:val="20"/>
          <w:szCs w:val="20"/>
          <w:color w:val="auto"/>
        </w:rPr>
      </w:pPr>
      <w:r>
        <w:rPr>
          <w:rFonts w:ascii="Times New Roman" w:cs="Times New Roman" w:eastAsia="Times New Roman" w:hAnsi="Times New Roman"/>
          <w:sz w:val="18"/>
          <w:szCs w:val="18"/>
          <w:color w:val="auto"/>
        </w:rPr>
        <w:t>Reference is hereby made to the 364-Day Revolving Credit Agreement dated as of March 27, 2026 (as amended, supplemented, restated,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Enterprise Products Operating LLC, a Texas limited liability company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Citibank, N.A., as Administrative Agent, and the financial institutions from time to time parties thereto as Lenders.</w:t>
      </w:r>
    </w:p>
    <w:p>
      <w:pPr>
        <w:spacing w:after="0" w:line="176" w:lineRule="exact"/>
        <w:rPr>
          <w:sz w:val="20"/>
          <w:szCs w:val="20"/>
          <w:color w:val="auto"/>
        </w:rPr>
      </w:pPr>
    </w:p>
    <w:p>
      <w:pPr>
        <w:ind w:left="4" w:right="120"/>
        <w:spacing w:after="0" w:line="254" w:lineRule="auto"/>
        <w:rPr>
          <w:sz w:val="20"/>
          <w:szCs w:val="20"/>
          <w:color w:val="auto"/>
        </w:rPr>
      </w:pPr>
      <w:r>
        <w:rPr>
          <w:rFonts w:ascii="Times New Roman" w:cs="Times New Roman" w:eastAsia="Times New Roman" w:hAnsi="Times New Roman"/>
          <w:sz w:val="18"/>
          <w:szCs w:val="18"/>
          <w:color w:val="auto"/>
        </w:rPr>
        <w:t xml:space="preserve">Pursuant to the provisions of </w:t>
      </w:r>
      <w:r>
        <w:rPr>
          <w:rFonts w:ascii="Times New Roman" w:cs="Times New Roman" w:eastAsia="Times New Roman" w:hAnsi="Times New Roman"/>
          <w:sz w:val="18"/>
          <w:szCs w:val="18"/>
          <w:u w:val="single" w:color="auto"/>
          <w:color w:val="auto"/>
        </w:rPr>
        <w:t>Section 2.17(e)</w:t>
      </w:r>
      <w:r>
        <w:rPr>
          <w:rFonts w:ascii="Times New Roman" w:cs="Times New Roman" w:eastAsia="Times New Roman" w:hAnsi="Times New Roman"/>
          <w:sz w:val="18"/>
          <w:szCs w:val="18"/>
          <w:color w:val="auto"/>
        </w:rPr>
        <w:t xml:space="preserve">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w:t>
      </w:r>
    </w:p>
    <w:p>
      <w:pPr>
        <w:spacing w:after="0" w:line="3" w:lineRule="exact"/>
        <w:rPr>
          <w:sz w:val="20"/>
          <w:szCs w:val="20"/>
          <w:color w:val="auto"/>
        </w:rPr>
      </w:pPr>
    </w:p>
    <w:p>
      <w:pPr>
        <w:ind w:left="4" w:right="40" w:hanging="4"/>
        <w:spacing w:after="0" w:line="255" w:lineRule="auto"/>
        <w:tabs>
          <w:tab w:leader="none" w:pos="30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its direct or indirect partners/members is a ten percent shareholder of the Borrower within the meaning of Section 881(c)(3)(B) of the Code and (v) none of its direct or indirect partners/members is a controlled foreign corporation related to the Borrower as described in Section 881(c)(3)(C) of the Code.</w:t>
      </w:r>
    </w:p>
    <w:p>
      <w:pPr>
        <w:spacing w:after="0" w:line="186" w:lineRule="exact"/>
        <w:rPr>
          <w:sz w:val="20"/>
          <w:szCs w:val="20"/>
          <w:color w:val="auto"/>
        </w:rPr>
      </w:pPr>
    </w:p>
    <w:p>
      <w:pPr>
        <w:ind w:left="4" w:right="80"/>
        <w:spacing w:after="0" w:line="254" w:lineRule="auto"/>
        <w:rPr>
          <w:sz w:val="20"/>
          <w:szCs w:val="20"/>
          <w:color w:val="auto"/>
        </w:rPr>
      </w:pPr>
      <w:r>
        <w:rPr>
          <w:rFonts w:ascii="Times New Roman" w:cs="Times New Roman" w:eastAsia="Times New Roman" w:hAnsi="Times New Roman"/>
          <w:sz w:val="18"/>
          <w:szCs w:val="18"/>
          <w:color w:val="auto"/>
        </w:rPr>
        <w:t>The undersigned has furnished the Administrative Agent and the Borrower with IRS Form W-8IMY accompanied by one of the following forms from each of its partners/members that is claiming the portfolio interest exemption: (i) an IRS Form W-8BEN (or W 8BEN E, as applicable) or (ii) an IRS Form W-8IMY accompanied by an IRS Form W-8BEN (or W 8BEN E, as applicable)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 Unless otherwise defined herein, terms defined in the Credit Agreement and used herein shall have the meanings given to them in the Credit Agreement.</w:t>
      </w:r>
    </w:p>
    <w:p>
      <w:pPr>
        <w:spacing w:after="0" w:line="2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LENDER]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________ __, 20[__]</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Exhibit G-4</w:t>
      </w:r>
    </w:p>
    <w:p>
      <w:pPr>
        <w:sectPr>
          <w:pgSz w:w="11900" w:h="16838" w:orient="portrait"/>
          <w:cols w:equalWidth="0" w:num="1">
            <w:col w:w="11024"/>
          </w:cols>
          <w:pgMar w:left="436" w:top="266" w:right="4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10.2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GUARANTY AGREEMENT</w:t>
      </w:r>
    </w:p>
    <w:p>
      <w:pPr>
        <w:spacing w:after="0" w:line="225"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THIS GUARANTY AGREEMENT, dated as of March 27, 2026, by ENTERPRISE PRODUCTS PARTNERS L.P., a Delaware limited partnership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is in favor of CITIBANK, N.A., as Administrative Agent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for the several lenders (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that are or become parties to the Credit Agreement defined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80" w:firstLine="440"/>
        <w:spacing w:after="0" w:line="266" w:lineRule="auto"/>
        <w:rPr>
          <w:sz w:val="20"/>
          <w:szCs w:val="20"/>
          <w:color w:val="auto"/>
        </w:rPr>
      </w:pPr>
      <w:r>
        <w:rPr>
          <w:rFonts w:ascii="Times New Roman" w:cs="Times New Roman" w:eastAsia="Times New Roman" w:hAnsi="Times New Roman"/>
          <w:sz w:val="18"/>
          <w:szCs w:val="18"/>
          <w:color w:val="auto"/>
        </w:rPr>
        <w:t>WHEREAS, Enterprise Products Operating LLC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has entered into that certain 364-Day Revolving Credit Agreement of even date herewith among Borrower, Administrative Agent, and the Lenders party thereto (as the same may be amended,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WHEREAS, one of the terms and conditions stated in the Credit Agreement for the making of the loans described therein is the execution and delivery to the Agent for the benefit of the Lenders of this Guaranty Agreement;</w:t>
      </w:r>
    </w:p>
    <w:p>
      <w:pPr>
        <w:spacing w:after="0" w:line="16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NOW, THEREFORE, (i) in order to comply with the terms and conditions of the Credit Agreement, (ii) to induce the Lenders, at any time or from time to time, to loan monies, with or without security to or for the account of Borrower in accordance with the terms of the Credit Agreement, (iii) at the special insistence and request of the Lenders, and (iv) for other good and valuable consideration, the receipt and sufficiency of which is hereby acknowledged, Guarantor hereby agrees as follows: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General Terms</w:t>
      </w:r>
    </w:p>
    <w:p>
      <w:pPr>
        <w:spacing w:after="0" w:line="22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Terms Defined Above</w:t>
      </w:r>
      <w:r>
        <w:rPr>
          <w:rFonts w:ascii="Times New Roman" w:cs="Times New Roman" w:eastAsia="Times New Roman" w:hAnsi="Times New Roman"/>
          <w:sz w:val="18"/>
          <w:szCs w:val="18"/>
          <w:color w:val="auto"/>
        </w:rPr>
        <w:t>. As used in this Guaranty Agreement, the terms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shall have the meanings indicated above.</w:t>
      </w:r>
    </w:p>
    <w:p>
      <w:pPr>
        <w:spacing w:after="0" w:line="16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As used in this Guaranty Agreement, the following terms shall have the following meanings, unless the context otherwise requires: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 Claims</w:t>
      </w:r>
      <w:r>
        <w:rPr>
          <w:rFonts w:ascii="Times New Roman" w:cs="Times New Roman" w:eastAsia="Times New Roman" w:hAnsi="Times New Roman"/>
          <w:sz w:val="18"/>
          <w:szCs w:val="18"/>
          <w:color w:val="auto"/>
        </w:rPr>
        <w:t>” shall have the meaning indicated in Section 4.1 hereof.</w:t>
      </w:r>
    </w:p>
    <w:p>
      <w:pPr>
        <w:spacing w:after="0" w:line="225" w:lineRule="exact"/>
        <w:rPr>
          <w:sz w:val="20"/>
          <w:szCs w:val="20"/>
          <w:color w:val="auto"/>
        </w:rPr>
      </w:pPr>
    </w:p>
    <w:p>
      <w:pPr>
        <w:ind w:left="440" w:right="660"/>
        <w:spacing w:after="0" w:line="282" w:lineRule="auto"/>
        <w:rPr>
          <w:sz w:val="20"/>
          <w:szCs w:val="20"/>
          <w:color w:val="auto"/>
        </w:rPr>
      </w:pPr>
      <w:r>
        <w:rPr>
          <w:rFonts w:ascii="Times New Roman" w:cs="Times New Roman" w:eastAsia="Times New Roman" w:hAnsi="Times New Roman"/>
          <w:sz w:val="18"/>
          <w:szCs w:val="18"/>
          <w:u w:val="single" w:color="auto"/>
          <w:color w:val="auto"/>
        </w:rPr>
        <w:t>“Guaranty Agreement</w:t>
      </w:r>
      <w:r>
        <w:rPr>
          <w:rFonts w:ascii="Times New Roman" w:cs="Times New Roman" w:eastAsia="Times New Roman" w:hAnsi="Times New Roman"/>
          <w:sz w:val="18"/>
          <w:szCs w:val="18"/>
          <w:color w:val="auto"/>
        </w:rPr>
        <w:t>” shall mean this Guaranty Agreement, as the same may from time to time be amended, supplemented, or otherwise modified.</w:t>
      </w:r>
    </w:p>
    <w:p>
      <w:pPr>
        <w:spacing w:after="0" w:line="162" w:lineRule="exact"/>
        <w:rPr>
          <w:sz w:val="20"/>
          <w:szCs w:val="20"/>
          <w:color w:val="auto"/>
        </w:rPr>
      </w:pPr>
    </w:p>
    <w:p>
      <w:pPr>
        <w:ind w:left="440" w:right="2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shall mean (a) any and all Indebtedness of the Borrower pursuant to the Credit Agreement, including without limitation (i) the unpaid principal of and interest on the Loans, including without limitation, interest accruing subsequent to the filing of a petition or other action concerning bankruptcy or other similar proceeding, and (ii) payment of any other amount owed by the Borrower under the Credit Agreement, including without limitation, fees and indemnity payments, and (b) all renewals, rearrangements, increases, extensions for any period, amendments, supplements, exchanges or reissuances in whole or in part of the Indebtedness of Borrower under the Credit Agreement, or any other documents or instruments evidencing any of the above.</w:t>
      </w:r>
    </w:p>
    <w:p>
      <w:pPr>
        <w:sectPr>
          <w:pgSz w:w="11900" w:h="16838" w:orient="portrait"/>
          <w:cols w:equalWidth="0" w:num="1">
            <w:col w:w="11020"/>
          </w:cols>
          <w:pgMar w:left="440" w:top="117" w:right="439" w:bottom="1440" w:gutter="0" w:footer="0" w:header="0"/>
        </w:sectPr>
      </w:pPr>
    </w:p>
    <w:bookmarkStart w:id="124" w:name="page125"/>
    <w:bookmarkEnd w:id="124"/>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1.3 </w:t>
      </w:r>
      <w:r>
        <w:rPr>
          <w:rFonts w:ascii="Times New Roman" w:cs="Times New Roman" w:eastAsia="Times New Roman" w:hAnsi="Times New Roman"/>
          <w:sz w:val="18"/>
          <w:szCs w:val="18"/>
          <w:u w:val="single" w:color="auto"/>
          <w:color w:val="auto"/>
        </w:rPr>
        <w:t>Credit Agreement Definitions</w:t>
      </w:r>
      <w:r>
        <w:rPr>
          <w:rFonts w:ascii="Times New Roman" w:cs="Times New Roman" w:eastAsia="Times New Roman" w:hAnsi="Times New Roman"/>
          <w:sz w:val="18"/>
          <w:szCs w:val="18"/>
          <w:color w:val="auto"/>
        </w:rPr>
        <w:t>. Unless otherwise defined herein, all terms beginning with a capital letter which are defined in the Credit Agreement shall have the same meanings herein as therein.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Guaranty</w:t>
      </w:r>
    </w:p>
    <w:p>
      <w:pPr>
        <w:spacing w:after="0" w:line="225"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Liabilities Guaranteed</w:t>
      </w:r>
      <w:r>
        <w:rPr>
          <w:rFonts w:ascii="Times New Roman" w:cs="Times New Roman" w:eastAsia="Times New Roman" w:hAnsi="Times New Roman"/>
          <w:sz w:val="18"/>
          <w:szCs w:val="18"/>
          <w:color w:val="auto"/>
        </w:rPr>
        <w:t>. Guarantor hereby irrevocably and unconditionally guarantees in favor of the Agent for the benefit of the Lenders the prompt payment of the Liabilities when due, whether at maturity or otherwise.</w:t>
      </w:r>
    </w:p>
    <w:p>
      <w:pPr>
        <w:spacing w:after="0" w:line="16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Nature of Guaranty</w:t>
      </w:r>
      <w:r>
        <w:rPr>
          <w:rFonts w:ascii="Times New Roman" w:cs="Times New Roman" w:eastAsia="Times New Roman" w:hAnsi="Times New Roman"/>
          <w:sz w:val="18"/>
          <w:szCs w:val="18"/>
          <w:color w:val="auto"/>
        </w:rPr>
        <w:t>. This Guaranty Agreement is an absolute, irrevocable, completed and continuing guaranty of payment and not a guaranty of collection, and no notice of the Liabilities or any extension of credit already or hereafter contracted by or extended to Borrower need be given to Guarantor. This Guaranty Agreement may not be revoked by Guarantor and shall continue to be effective with respect to debt under the Liabilities arising or created after any attempted revocation by Guarantor and shall remain in full force and effect until the Liabilities are paid in full and the Commitments are terminated, notwithstanding that from time to time prior thereto no Liabilities may be outstanding. Borrower and the Lenders may modify, alter, rearrange, extend for any period and/or renew from time to time the Liabilities, and the Lenders may waive any Default or Events of Default without notice to the Guarantor and in such event Guarantor will remain fully bound hereunder on the Liabilities. This Guaranty Agreement shall continue to be effective or be reinstated, as the case may be, if at any time any payment of the Liabilities is rescinded or must otherwise be returned by any of the Lenders upon the insolvency, bankruptcy or reorganization of Borrower or otherwise, all as though such payment had not been made. This Guaranty Agreement may be enforced by the Agent and any subsequent holder of any of the Liabilities and shall not be discharged by the assignment or negotiation of all or part of the Liabilities. Guarantor hereby expressly waives presentment, demand, notice of non-payment, protest and notice of protest and dishonor, notice of Default or Event of Default, notice of intent to accelerate the maturity and notice of acceleration of the maturity and any other notice in connection with the Liabilities, and also notice of acceptance of this Guaranty Agreement, acceptance on the part of the Agent for the benefit of the Lenders being conclusively presumed by the Lenders’ request for this Guaranty Agreement and delivery of the same to the Agent.</w:t>
      </w:r>
    </w:p>
    <w:p>
      <w:pPr>
        <w:spacing w:after="0" w:line="197"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Agent’s Rights</w:t>
      </w:r>
      <w:r>
        <w:rPr>
          <w:rFonts w:ascii="Times New Roman" w:cs="Times New Roman" w:eastAsia="Times New Roman" w:hAnsi="Times New Roman"/>
          <w:sz w:val="18"/>
          <w:szCs w:val="18"/>
          <w:color w:val="auto"/>
        </w:rPr>
        <w:t>. Guarantor authorizes the Agent, without notice or demand and without affecting Guarantor’s liability hereunder, to take and hold security for the payment of this Guaranty Agreement and/or the Liabilities, and exchange, enforce, waive and release any such security; and to apply such security and direct the order or manner of sale thereof as the Agent in its discretion may determine; and to obtain a guaranty of the Liabilities from any one or more Persons and at any time or times to enforce, waive, rearrange, modify, limit or release any of such other Persons from their obligations under such guaranties.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125" w:name="page126"/>
    <w:bookmarkEnd w:id="12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2.4 </w:t>
      </w:r>
      <w:r>
        <w:rPr>
          <w:rFonts w:ascii="Times New Roman" w:cs="Times New Roman" w:eastAsia="Times New Roman" w:hAnsi="Times New Roman"/>
          <w:sz w:val="18"/>
          <w:szCs w:val="18"/>
          <w:u w:val="single" w:color="auto"/>
          <w:color w:val="auto"/>
        </w:rPr>
        <w:t>Guarantor’s Waivers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firstLine="419"/>
        <w:spacing w:after="0" w:line="253" w:lineRule="auto"/>
        <w:tabs>
          <w:tab w:leader="none" w:pos="110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Guarantor waives any right to require any of the Lenders to (i) proceed against Borrower or any other person liable on the Liabilities, (ii) enforce any of their rights against any other guarantor of the Liabilities, (iii) proceed or enforce any of their rights against or exhaust any security given to secure the Liabilities, (iv) have Borrower joined with Guarantor in any suit arising out of this Guaranty Agreement and/or the Liabilities, or (v) pursue any other remedy in the Lenders’ powers whatsoever. Except as provided in the Credit Agreement, the Lenders shall not be required to mitigate damages or take any action to reduce, collect or enforce the Liabilities, and the failure to so mitigate or take any such action shall not release the Guarantor from this Guaranty Agreement. Guarantor waives any defense arising by reason of any disability, lack of authority or power, or other defense (other than payment in full of the Liabilities) of Borrower or any other guarantor of the Liabilities, and shall remain liable hereon regardless of whether Borrower or any other guarantor be found not liable thereon for any reason. Whether and when to exercise any of the remedies of the Lenders under the Credit Agreement shall be in the sole and absolute discretion of the Agent, and no delay by the Agent in enforcing any remedy, including delay in conducting a foreclosure sale, shall be a defense to the Guarantor’s liability under this Guaranty Agreement. To the extent allowed by applicable law, the Guarantor hereby waives any good faith duty on the part of the Agent in exercising any remedies provided in the Credit Agreement.</w:t>
      </w:r>
    </w:p>
    <w:p>
      <w:pPr>
        <w:spacing w:after="0" w:line="189" w:lineRule="exact"/>
        <w:rPr>
          <w:rFonts w:ascii="Times New Roman" w:cs="Times New Roman" w:eastAsia="Times New Roman" w:hAnsi="Times New Roman"/>
          <w:sz w:val="18"/>
          <w:szCs w:val="18"/>
          <w:color w:val="auto"/>
        </w:rPr>
      </w:pPr>
    </w:p>
    <w:p>
      <w:pPr>
        <w:ind w:left="440" w:right="360" w:firstLine="419"/>
        <w:spacing w:after="0" w:line="261" w:lineRule="auto"/>
        <w:tabs>
          <w:tab w:leader="none" w:pos="111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Subrogation</w:t>
      </w:r>
      <w:r>
        <w:rPr>
          <w:rFonts w:ascii="Times New Roman" w:cs="Times New Roman" w:eastAsia="Times New Roman" w:hAnsi="Times New Roman"/>
          <w:sz w:val="18"/>
          <w:szCs w:val="18"/>
          <w:color w:val="auto"/>
        </w:rPr>
        <w:t>. Until the Liabilities have been paid in full, the Guarantor waives all rights of subrogation or reimbursement against the Borrower, whether arising by contract or operation of law (including, without limitation, any such right arising under any federal or state bankruptcy or insolvency laws) and waives any right to enforce any remedy which the Lenders now have or may hereafter have against the Borrower, and waives any benefit or any right to participate in any security now or hereafter held by the Agent or any Lender.</w:t>
      </w:r>
    </w:p>
    <w:p>
      <w:pPr>
        <w:spacing w:after="0" w:line="180"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Maturity of Liabilities; Payment</w:t>
      </w:r>
      <w:r>
        <w:rPr>
          <w:rFonts w:ascii="Times New Roman" w:cs="Times New Roman" w:eastAsia="Times New Roman" w:hAnsi="Times New Roman"/>
          <w:sz w:val="18"/>
          <w:szCs w:val="18"/>
          <w:color w:val="auto"/>
        </w:rPr>
        <w:t>. Guarantor agrees that if the maturity of any of the Liabilities is accelerated by bankruptcy or otherwise, such maturity shall also be deemed accelerated for the purpose of this Guaranty Agreement without demand or notice to Guarantor. Guarantor will, forthwith upon notice from the Agent, pay to the Agent the amount due and unpaid by Borrower and guaranteed hereby. The failure of the Agent to give this notice shall not in any way release Guarantor hereunder.</w:t>
      </w:r>
    </w:p>
    <w:p>
      <w:pPr>
        <w:spacing w:after="0" w:line="180"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 xml:space="preserve">Section 2.6 </w:t>
      </w:r>
      <w:r>
        <w:rPr>
          <w:rFonts w:ascii="Times New Roman" w:cs="Times New Roman" w:eastAsia="Times New Roman" w:hAnsi="Times New Roman"/>
          <w:sz w:val="17"/>
          <w:szCs w:val="17"/>
          <w:u w:val="single" w:color="auto"/>
          <w:color w:val="auto"/>
        </w:rPr>
        <w:t>Agent’s Expenses</w:t>
      </w:r>
      <w:r>
        <w:rPr>
          <w:rFonts w:ascii="Times New Roman" w:cs="Times New Roman" w:eastAsia="Times New Roman" w:hAnsi="Times New Roman"/>
          <w:sz w:val="17"/>
          <w:szCs w:val="17"/>
          <w:color w:val="auto"/>
        </w:rPr>
        <w:t>. If Guarantor fails to pay the Liabilities after notice from the Agent of Borrower’s failure to pay any Liabilities at maturity, and if the Agent obtains the services of an attorney for collection of amounts owing by Guarantor hereunder, or obtaining advice of counsel in respect of any of its rights under this Guaranty Agreement, or if suit is filed to enforce this Guaranty Agreement, or if proceedings are had in any bankruptcy, receivership or other judicial proceedings for the establishment or collection of any amount owing by Guarantor hereunder, or if any amount owing by Guarantor hereunder is collected through such proceedings, Guarantor agrees to pay to the Agent the Agent’s reasonable attorneys’ fees.</w:t>
      </w:r>
    </w:p>
    <w:p>
      <w:pPr>
        <w:spacing w:after="0" w:line="168"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It is expressly agreed that the liability of the Guarantor for the payment of the Liabilities guaranteed hereby shall be primary and not secondary.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26" w:name="page127"/>
    <w:bookmarkEnd w:id="126"/>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2.8 </w:t>
      </w:r>
      <w:r>
        <w:rPr>
          <w:rFonts w:ascii="Times New Roman" w:cs="Times New Roman" w:eastAsia="Times New Roman" w:hAnsi="Times New Roman"/>
          <w:sz w:val="18"/>
          <w:szCs w:val="18"/>
          <w:u w:val="single" w:color="auto"/>
          <w:color w:val="auto"/>
        </w:rPr>
        <w:t>Events and Circumstances Not Reducing or Discharging Guarantor’s Obligations</w:t>
      </w:r>
      <w:r>
        <w:rPr>
          <w:rFonts w:ascii="Times New Roman" w:cs="Times New Roman" w:eastAsia="Times New Roman" w:hAnsi="Times New Roman"/>
          <w:sz w:val="18"/>
          <w:szCs w:val="18"/>
          <w:color w:val="auto"/>
        </w:rPr>
        <w:t>. Guarantor hereby consents and agrees to each of the following to the fullest extent permitted by law, and agrees that Guarantor’s obligations under this Guaranty Agreement shall not be released, diminished, impaired, reduced or adversely affected by any of the following, and waives any rights (including without limitation rights to notice) which Guarantor might otherwise have as a result of or in connection with any of the following:</w:t>
      </w:r>
    </w:p>
    <w:p>
      <w:pPr>
        <w:spacing w:after="0" w:line="180" w:lineRule="exact"/>
        <w:rPr>
          <w:sz w:val="20"/>
          <w:szCs w:val="20"/>
          <w:color w:val="auto"/>
        </w:rPr>
      </w:pPr>
    </w:p>
    <w:p>
      <w:pPr>
        <w:jc w:val="both"/>
        <w:ind w:left="440" w:right="120" w:firstLine="419"/>
        <w:spacing w:after="0" w:line="266" w:lineRule="auto"/>
        <w:tabs>
          <w:tab w:leader="none" w:pos="110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 etc</w:t>
      </w:r>
      <w:r>
        <w:rPr>
          <w:rFonts w:ascii="Times New Roman" w:cs="Times New Roman" w:eastAsia="Times New Roman" w:hAnsi="Times New Roman"/>
          <w:sz w:val="18"/>
          <w:szCs w:val="18"/>
          <w:color w:val="auto"/>
        </w:rPr>
        <w:t>. Any renewal, extension, modification, increase, decrease, alteration, rearrangement, exchange or reissuance of all or any part of the Liabilities or the Credit Agreement or any instrument executed in connection therewith, or any contract or understanding between Borrower and any of the Lenders, or any other Person, pertaining to the Liabilities;</w:t>
      </w:r>
    </w:p>
    <w:p>
      <w:pPr>
        <w:spacing w:after="0" w:line="175" w:lineRule="exact"/>
        <w:rPr>
          <w:rFonts w:ascii="Times New Roman" w:cs="Times New Roman" w:eastAsia="Times New Roman" w:hAnsi="Times New Roman"/>
          <w:sz w:val="18"/>
          <w:szCs w:val="18"/>
          <w:color w:val="auto"/>
        </w:rPr>
      </w:pPr>
    </w:p>
    <w:p>
      <w:pPr>
        <w:ind w:left="440" w:right="540" w:firstLine="419"/>
        <w:spacing w:after="0" w:line="282" w:lineRule="auto"/>
        <w:tabs>
          <w:tab w:leader="none" w:pos="111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etc.</w:t>
      </w:r>
      <w:r>
        <w:rPr>
          <w:rFonts w:ascii="Times New Roman" w:cs="Times New Roman" w:eastAsia="Times New Roman" w:hAnsi="Times New Roman"/>
          <w:sz w:val="18"/>
          <w:szCs w:val="18"/>
          <w:color w:val="auto"/>
        </w:rPr>
        <w:t xml:space="preserve"> Any adjustment, indulgence, forbearance or compromise that might be granted or given by any of the Lenders to Borrower or Guarantor or any Person liable on the Liabilities;</w:t>
      </w:r>
    </w:p>
    <w:p>
      <w:pPr>
        <w:spacing w:after="0" w:line="161"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0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 of Borrower or Guarantor</w:t>
      </w:r>
      <w:r>
        <w:rPr>
          <w:rFonts w:ascii="Times New Roman" w:cs="Times New Roman" w:eastAsia="Times New Roman" w:hAnsi="Times New Roman"/>
          <w:sz w:val="18"/>
          <w:szCs w:val="18"/>
          <w:color w:val="auto"/>
        </w:rPr>
        <w:t>. The insolvency, bankruptcy arrangement, adjustment, composition, liquidation, disability, dissolution, death or lack of power of Borrower or Guarantor or any other Person at any time liable for the payment of all or part of the Liabilities; or any dissolution of Borrower or Guarantor, or any sale, lease or transfer of any or all of the assets of Borrower or Guarantor, or any changes in the shareholders, partners, or members of Borrower or Guarantor; or any reorganization of Borrower or Guarantor;</w:t>
      </w:r>
    </w:p>
    <w:p>
      <w:pPr>
        <w:spacing w:after="0" w:line="179" w:lineRule="exact"/>
        <w:rPr>
          <w:rFonts w:ascii="Times New Roman" w:cs="Times New Roman" w:eastAsia="Times New Roman" w:hAnsi="Times New Roman"/>
          <w:sz w:val="18"/>
          <w:szCs w:val="18"/>
          <w:color w:val="auto"/>
        </w:rPr>
      </w:pPr>
    </w:p>
    <w:p>
      <w:pPr>
        <w:ind w:left="440" w:firstLine="419"/>
        <w:spacing w:after="0" w:line="254" w:lineRule="auto"/>
        <w:tabs>
          <w:tab w:leader="none" w:pos="111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Invalidity of Liabilities</w:t>
      </w:r>
      <w:r>
        <w:rPr>
          <w:rFonts w:ascii="Times New Roman" w:cs="Times New Roman" w:eastAsia="Times New Roman" w:hAnsi="Times New Roman"/>
          <w:sz w:val="18"/>
          <w:szCs w:val="18"/>
          <w:color w:val="auto"/>
        </w:rPr>
        <w:t xml:space="preserve">. The invalidity, illegality or unenforceability of all or any part of the Liabilities, or any document or agreement executed in connection with the Liabilities, for any reason whatsoever, including without limitation the fact that the Liabilities, or any part thereof, exceed the amount permitted by law, the act of creating the Liabilities or any part thereof is </w:t>
      </w:r>
      <w:r>
        <w:rPr>
          <w:rFonts w:ascii="Times New Roman" w:cs="Times New Roman" w:eastAsia="Times New Roman" w:hAnsi="Times New Roman"/>
          <w:sz w:val="18"/>
          <w:szCs w:val="18"/>
          <w:u w:val="single" w:color="auto"/>
          <w:color w:val="auto"/>
        </w:rPr>
        <w:t>ultra vires</w:t>
      </w:r>
      <w:r>
        <w:rPr>
          <w:rFonts w:ascii="Times New Roman" w:cs="Times New Roman" w:eastAsia="Times New Roman" w:hAnsi="Times New Roman"/>
          <w:sz w:val="18"/>
          <w:szCs w:val="18"/>
          <w:color w:val="auto"/>
        </w:rPr>
        <w:t>, the officers or representatives executing the documents or otherwise creating the Liabilities acted in excess of their authority, the Liabilities violate applicable usury laws, the Borrower has valid defenses (other than payment in full of the Liabilities), claims or offsets (whether at law, in equity or by agreement) which render the Liabilities wholly or partially uncollectible from Borrower, the creation, performance or repayment of the Liabilities (or the execution, delivery and performance of any document or instrument representing part of the Liabilities or executed in connection with the Liabilities, or given to secure the repayment of the Liabilities) is illegal, uncollectible, legally impossible or unenforceable, or the Credit Agreement or other documents or instruments pertaining to the Liabilities have been forged or otherwise are irregular or not genuine or authentic;</w:t>
      </w:r>
    </w:p>
    <w:p>
      <w:pPr>
        <w:spacing w:after="0" w:line="188" w:lineRule="exact"/>
        <w:rPr>
          <w:rFonts w:ascii="Times New Roman" w:cs="Times New Roman" w:eastAsia="Times New Roman" w:hAnsi="Times New Roman"/>
          <w:sz w:val="18"/>
          <w:szCs w:val="18"/>
          <w:color w:val="auto"/>
        </w:rPr>
      </w:pPr>
    </w:p>
    <w:p>
      <w:pPr>
        <w:ind w:left="440" w:right="80" w:firstLine="419"/>
        <w:spacing w:after="0" w:line="256" w:lineRule="auto"/>
        <w:tabs>
          <w:tab w:leader="none" w:pos="110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Obligors</w:t>
      </w:r>
      <w:r>
        <w:rPr>
          <w:rFonts w:ascii="Times New Roman" w:cs="Times New Roman" w:eastAsia="Times New Roman" w:hAnsi="Times New Roman"/>
          <w:sz w:val="18"/>
          <w:szCs w:val="18"/>
          <w:color w:val="auto"/>
        </w:rPr>
        <w:t>. Any full or partial release of the liability of Borrower on the Liabilities or any part thereof, of any co-guarantors, or any other Person now or hereafter liable, whether directly or indirectly, jointly, severally, or jointly and severally, to pay, perform, guarantee or assure the payment of the Liabilities or any part thereof, it being recognized, acknowledged and agreed by Guarantor that Guarantor may be required to pay the Liabilities in full without assistance or support of any other Person, and Guarantor has not been induced to enter into this Guaranty Agreement on the basis of a contemplation, belief, understanding or agreement that other parties other than the Borrower will be liable to perform the Liabilities, or the Lenders will look to other parties to perform the Liabilities.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27" w:name="page128"/>
    <w:bookmarkEnd w:id="127"/>
    <w:p>
      <w:pPr>
        <w:ind w:right="100" w:firstLine="419"/>
        <w:spacing w:after="0" w:line="282" w:lineRule="auto"/>
        <w:tabs>
          <w:tab w:leader="none" w:pos="64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Security</w:t>
      </w:r>
      <w:r>
        <w:rPr>
          <w:rFonts w:ascii="Times New Roman" w:cs="Times New Roman" w:eastAsia="Times New Roman" w:hAnsi="Times New Roman"/>
          <w:sz w:val="18"/>
          <w:szCs w:val="18"/>
          <w:color w:val="auto"/>
        </w:rPr>
        <w:t>. The taking or accepting of any other security, collateral or guaranty, or other assurance of payment, for all or any part of the Liabilities;</w:t>
      </w:r>
    </w:p>
    <w:p>
      <w:pPr>
        <w:spacing w:after="0" w:line="161" w:lineRule="exact"/>
        <w:rPr>
          <w:rFonts w:ascii="Times New Roman" w:cs="Times New Roman" w:eastAsia="Times New Roman" w:hAnsi="Times New Roman"/>
          <w:sz w:val="18"/>
          <w:szCs w:val="18"/>
          <w:color w:val="auto"/>
        </w:rPr>
      </w:pPr>
    </w:p>
    <w:p>
      <w:pPr>
        <w:jc w:val="both"/>
        <w:ind w:right="160" w:firstLine="419"/>
        <w:spacing w:after="0" w:line="266" w:lineRule="auto"/>
        <w:tabs>
          <w:tab w:leader="none" w:pos="67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Collateral, etc.</w:t>
      </w:r>
      <w:r>
        <w:rPr>
          <w:rFonts w:ascii="Times New Roman" w:cs="Times New Roman" w:eastAsia="Times New Roman" w:hAnsi="Times New Roman"/>
          <w:sz w:val="18"/>
          <w:szCs w:val="18"/>
          <w:color w:val="auto"/>
        </w:rPr>
        <w:t xml:space="preserve"> Any release, surrender, exchange, subordination, deterioration, waste, loss or impairment (including without limitation negligent, willful, unreasonable or unjustifiable impairment) of any collateral, property or security, at any time existing in connection with, or assuring or securing payment of, all or any part of the Liabilities;</w:t>
      </w:r>
    </w:p>
    <w:p>
      <w:pPr>
        <w:spacing w:after="0" w:line="175" w:lineRule="exact"/>
        <w:rPr>
          <w:rFonts w:ascii="Times New Roman" w:cs="Times New Roman" w:eastAsia="Times New Roman" w:hAnsi="Times New Roman"/>
          <w:sz w:val="18"/>
          <w:szCs w:val="18"/>
          <w:color w:val="auto"/>
        </w:rPr>
      </w:pPr>
    </w:p>
    <w:p>
      <w:pPr>
        <w:ind w:right="740" w:firstLine="419"/>
        <w:spacing w:after="0" w:line="282" w:lineRule="auto"/>
        <w:tabs>
          <w:tab w:leader="none" w:pos="67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Care and Diligence</w:t>
      </w:r>
      <w:r>
        <w:rPr>
          <w:rFonts w:ascii="Times New Roman" w:cs="Times New Roman" w:eastAsia="Times New Roman" w:hAnsi="Times New Roman"/>
          <w:sz w:val="18"/>
          <w:szCs w:val="18"/>
          <w:color w:val="auto"/>
        </w:rPr>
        <w:t>. The failure of the Lenders or any other Person to exercise diligence or reasonable care in the preservation, protection, enforcement, sale or other handling or treatment of all or any part of such collateral, property or security;</w:t>
      </w:r>
    </w:p>
    <w:p>
      <w:pPr>
        <w:spacing w:after="0" w:line="161" w:lineRule="exact"/>
        <w:rPr>
          <w:rFonts w:ascii="Times New Roman" w:cs="Times New Roman" w:eastAsia="Times New Roman" w:hAnsi="Times New Roman"/>
          <w:sz w:val="18"/>
          <w:szCs w:val="18"/>
          <w:color w:val="auto"/>
        </w:rPr>
      </w:pPr>
    </w:p>
    <w:p>
      <w:pPr>
        <w:ind w:firstLine="419"/>
        <w:spacing w:after="0" w:line="261" w:lineRule="auto"/>
        <w:tabs>
          <w:tab w:leader="none" w:pos="63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Liens</w:t>
      </w:r>
      <w:r>
        <w:rPr>
          <w:rFonts w:ascii="Times New Roman" w:cs="Times New Roman" w:eastAsia="Times New Roman" w:hAnsi="Times New Roman"/>
          <w:sz w:val="18"/>
          <w:szCs w:val="18"/>
          <w:color w:val="auto"/>
        </w:rPr>
        <w:t>. The fact that any collateral, security, security interest or lien contemplated or intended to be given, created or granted as security for the repayment of the Liabilities shall not be properly perfected or created, or shall prove to be unenforceable or subordinate to any other security interest or lien, it being recognized and agreed by Guarantor that Guarantor is not entering into this Guaranty Agreement in reliance on, or in contemplation of the benefits of, the validity, enforceability, collectability or value of any collateral for the Liabilities;</w:t>
      </w:r>
    </w:p>
    <w:p>
      <w:pPr>
        <w:spacing w:after="0" w:line="179" w:lineRule="exact"/>
        <w:rPr>
          <w:rFonts w:ascii="Times New Roman" w:cs="Times New Roman" w:eastAsia="Times New Roman" w:hAnsi="Times New Roman"/>
          <w:sz w:val="18"/>
          <w:szCs w:val="18"/>
          <w:color w:val="auto"/>
        </w:rPr>
      </w:pPr>
    </w:p>
    <w:p>
      <w:pPr>
        <w:ind w:right="160" w:firstLine="419"/>
        <w:spacing w:after="0" w:line="282" w:lineRule="auto"/>
        <w:tabs>
          <w:tab w:leader="none" w:pos="63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Rescinded</w:t>
      </w:r>
      <w:r>
        <w:rPr>
          <w:rFonts w:ascii="Times New Roman" w:cs="Times New Roman" w:eastAsia="Times New Roman" w:hAnsi="Times New Roman"/>
          <w:sz w:val="18"/>
          <w:szCs w:val="18"/>
          <w:color w:val="auto"/>
        </w:rPr>
        <w:t>. Any payment by Borrower to the Lenders is held to constitute a preference under the bankruptcy laws, or for any reason the Lenders are required to refund such payment or pay such amount to Borrower or someone else; or</w:t>
      </w:r>
    </w:p>
    <w:p>
      <w:pPr>
        <w:spacing w:after="0" w:line="161" w:lineRule="exact"/>
        <w:rPr>
          <w:rFonts w:ascii="Times New Roman" w:cs="Times New Roman" w:eastAsia="Times New Roman" w:hAnsi="Times New Roman"/>
          <w:sz w:val="18"/>
          <w:szCs w:val="18"/>
          <w:color w:val="auto"/>
        </w:rPr>
      </w:pPr>
    </w:p>
    <w:p>
      <w:pPr>
        <w:ind w:right="40" w:firstLine="419"/>
        <w:spacing w:after="0" w:line="256" w:lineRule="auto"/>
        <w:tabs>
          <w:tab w:leader="none" w:pos="67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Actions Taken or Omitted</w:t>
      </w:r>
      <w:r>
        <w:rPr>
          <w:rFonts w:ascii="Times New Roman" w:cs="Times New Roman" w:eastAsia="Times New Roman" w:hAnsi="Times New Roman"/>
          <w:sz w:val="18"/>
          <w:szCs w:val="18"/>
          <w:color w:val="auto"/>
        </w:rPr>
        <w:t>. Any other action taken or omitted to be taken with respect to the Credit Agreement, the Liabilities, or the security and collateral therefor, whether or not such action or omission prejudices Guarantor or increases the likelihood that Guarantor will be required to pay the Liabilities pursuant to the terms hereof; it being the unambiguous and unequivocal intention of Guarantor that Guarantor shall be obligated to pay the Liabilities when due, notwithstanding any occurrence, circumstance, event, action, or omission whatsoever, whether contemplated or uncontemplated, and whether or not otherwise or particularly described herein, except for the full and final payment and satisfaction of the Liabilities.</w:t>
      </w:r>
    </w:p>
    <w:p>
      <w:pPr>
        <w:spacing w:after="0" w:line="12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20"/>
          </w:cols>
          <w:pgMar w:left="880" w:top="270" w:right="499" w:bottom="1440" w:gutter="0" w:footer="0" w:header="0"/>
        </w:sectPr>
      </w:pPr>
    </w:p>
    <w:bookmarkStart w:id="128" w:name="page129"/>
    <w:bookmarkEnd w:id="128"/>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3</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By Guarantor</w:t>
      </w:r>
      <w:r>
        <w:rPr>
          <w:rFonts w:ascii="Times New Roman" w:cs="Times New Roman" w:eastAsia="Times New Roman" w:hAnsi="Times New Roman"/>
          <w:sz w:val="18"/>
          <w:szCs w:val="18"/>
          <w:color w:val="auto"/>
        </w:rPr>
        <w:t>. In order to induce the Lenders to accept this Guaranty Agreement, Guarantor represents and warrants to the Lenders (which representations and warranties will survive the creation of the Liabilities and any extension of credit thereunder) that:</w:t>
      </w:r>
    </w:p>
    <w:p>
      <w:pPr>
        <w:spacing w:after="0" w:line="162" w:lineRule="exact"/>
        <w:rPr>
          <w:sz w:val="20"/>
          <w:szCs w:val="20"/>
          <w:color w:val="auto"/>
        </w:rPr>
      </w:pPr>
    </w:p>
    <w:p>
      <w:pPr>
        <w:ind w:left="440" w:right="380" w:firstLine="419"/>
        <w:spacing w:after="0" w:line="282" w:lineRule="auto"/>
        <w:tabs>
          <w:tab w:leader="none" w:pos="110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 to Guarantor</w:t>
      </w:r>
      <w:r>
        <w:rPr>
          <w:rFonts w:ascii="Times New Roman" w:cs="Times New Roman" w:eastAsia="Times New Roman" w:hAnsi="Times New Roman"/>
          <w:sz w:val="18"/>
          <w:szCs w:val="18"/>
          <w:color w:val="auto"/>
        </w:rPr>
        <w:t>. Guarantor’s guaranty pursuant to this Guaranty Agreement reasonably may be expected to benefit, directly or indirectly, Guarantor.</w:t>
      </w:r>
    </w:p>
    <w:p>
      <w:pPr>
        <w:spacing w:after="0" w:line="161" w:lineRule="exact"/>
        <w:rPr>
          <w:rFonts w:ascii="Times New Roman" w:cs="Times New Roman" w:eastAsia="Times New Roman" w:hAnsi="Times New Roman"/>
          <w:sz w:val="18"/>
          <w:szCs w:val="18"/>
          <w:color w:val="auto"/>
        </w:rPr>
      </w:pPr>
    </w:p>
    <w:p>
      <w:pPr>
        <w:jc w:val="both"/>
        <w:ind w:left="440" w:right="220" w:firstLine="419"/>
        <w:spacing w:after="0" w:line="266" w:lineRule="auto"/>
        <w:tabs>
          <w:tab w:leader="none" w:pos="111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Existence</w:t>
      </w:r>
      <w:r>
        <w:rPr>
          <w:rFonts w:ascii="Times New Roman" w:cs="Times New Roman" w:eastAsia="Times New Roman" w:hAnsi="Times New Roman"/>
          <w:sz w:val="18"/>
          <w:szCs w:val="18"/>
          <w:color w:val="auto"/>
        </w:rPr>
        <w:t>. Guarantor is a limited partnership, duly organized and legally existing under the laws of the jurisdiction of its organization and is duly qualified in all jurisdictions wherein the property owned or the business transacted by it makes such qualification necessary, except where the failure to be so qualified could reasonably be expected to have a Material Adverse Effect.</w:t>
      </w:r>
    </w:p>
    <w:p>
      <w:pPr>
        <w:spacing w:after="0" w:line="175" w:lineRule="exact"/>
        <w:rPr>
          <w:rFonts w:ascii="Times New Roman" w:cs="Times New Roman" w:eastAsia="Times New Roman" w:hAnsi="Times New Roman"/>
          <w:sz w:val="18"/>
          <w:szCs w:val="18"/>
          <w:color w:val="auto"/>
        </w:rPr>
      </w:pPr>
    </w:p>
    <w:p>
      <w:pPr>
        <w:ind w:left="440" w:firstLine="419"/>
        <w:spacing w:after="0" w:line="266" w:lineRule="auto"/>
        <w:tabs>
          <w:tab w:leader="none" w:pos="110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 and Authorization</w:t>
      </w:r>
      <w:r>
        <w:rPr>
          <w:rFonts w:ascii="Times New Roman" w:cs="Times New Roman" w:eastAsia="Times New Roman" w:hAnsi="Times New Roman"/>
          <w:sz w:val="18"/>
          <w:szCs w:val="18"/>
          <w:color w:val="auto"/>
        </w:rPr>
        <w:t>. Guarantor is duly authorized and empowered to execute, deliver and perform this Guaranty Agreement and all action on Guarantor’s part requisite for the due execution, delivery and performance of this Guaranty Agreement has been duly and effectively taken.</w:t>
      </w:r>
    </w:p>
    <w:p>
      <w:pPr>
        <w:spacing w:after="0" w:line="175" w:lineRule="exact"/>
        <w:rPr>
          <w:rFonts w:ascii="Times New Roman" w:cs="Times New Roman" w:eastAsia="Times New Roman" w:hAnsi="Times New Roman"/>
          <w:sz w:val="18"/>
          <w:szCs w:val="18"/>
          <w:color w:val="auto"/>
        </w:rPr>
      </w:pPr>
    </w:p>
    <w:p>
      <w:pPr>
        <w:jc w:val="both"/>
        <w:ind w:left="440" w:right="40" w:firstLine="419"/>
        <w:spacing w:after="0" w:line="266" w:lineRule="auto"/>
        <w:tabs>
          <w:tab w:leader="none" w:pos="111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Obligations</w:t>
      </w:r>
      <w:r>
        <w:rPr>
          <w:rFonts w:ascii="Times New Roman" w:cs="Times New Roman" w:eastAsia="Times New Roman" w:hAnsi="Times New Roman"/>
          <w:sz w:val="18"/>
          <w:szCs w:val="18"/>
          <w:color w:val="auto"/>
        </w:rPr>
        <w:t>. This Guaranty Agreement constitutes a valid and binding obligation of Guarantor, enforceable in accordance with its terms (except that enforcement may be subject to any applicable bankruptcy, insolvency or similar laws generally affecting the enforcement of creditors’ rights).</w:t>
      </w:r>
    </w:p>
    <w:p>
      <w:pPr>
        <w:spacing w:after="0" w:line="175" w:lineRule="exact"/>
        <w:rPr>
          <w:rFonts w:ascii="Times New Roman" w:cs="Times New Roman" w:eastAsia="Times New Roman" w:hAnsi="Times New Roman"/>
          <w:sz w:val="18"/>
          <w:szCs w:val="18"/>
          <w:color w:val="auto"/>
        </w:rPr>
      </w:pPr>
    </w:p>
    <w:p>
      <w:pPr>
        <w:ind w:left="440" w:right="500" w:firstLine="419"/>
        <w:spacing w:after="0" w:line="282" w:lineRule="auto"/>
        <w:tabs>
          <w:tab w:leader="none" w:pos="110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Legal Bar</w:t>
      </w:r>
      <w:r>
        <w:rPr>
          <w:rFonts w:ascii="Times New Roman" w:cs="Times New Roman" w:eastAsia="Times New Roman" w:hAnsi="Times New Roman"/>
          <w:sz w:val="18"/>
          <w:szCs w:val="18"/>
          <w:color w:val="auto"/>
        </w:rPr>
        <w:t>. This Guaranty Agreement will not violate any provisions of Guarantor’s organizational documents or any contract, agreement, law, regulation, order, injunction, judgment, decree or writ to which Guarantor is subject.</w:t>
      </w:r>
    </w:p>
    <w:p>
      <w:pPr>
        <w:spacing w:after="0" w:line="161" w:lineRule="exact"/>
        <w:rPr>
          <w:rFonts w:ascii="Times New Roman" w:cs="Times New Roman" w:eastAsia="Times New Roman" w:hAnsi="Times New Roman"/>
          <w:sz w:val="18"/>
          <w:szCs w:val="18"/>
          <w:color w:val="auto"/>
        </w:rPr>
      </w:pPr>
    </w:p>
    <w:p>
      <w:pPr>
        <w:ind w:left="440" w:right="180" w:firstLine="419"/>
        <w:spacing w:after="0" w:line="266" w:lineRule="auto"/>
        <w:tabs>
          <w:tab w:leader="none" w:pos="108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Consent</w:t>
      </w:r>
      <w:r>
        <w:rPr>
          <w:rFonts w:ascii="Times New Roman" w:cs="Times New Roman" w:eastAsia="Times New Roman" w:hAnsi="Times New Roman"/>
          <w:sz w:val="18"/>
          <w:szCs w:val="18"/>
          <w:color w:val="auto"/>
        </w:rPr>
        <w:t>. Guarantor’s execution, delivery and performance of this Guaranty Agreement does not require the consent or approval of any other Person, including without limitation any regulatory authority or governmental body of the United States or any state thereof or any political subdivision of the United States or any state thereof.</w:t>
      </w:r>
    </w:p>
    <w:p>
      <w:pPr>
        <w:spacing w:after="0" w:line="175" w:lineRule="exact"/>
        <w:rPr>
          <w:rFonts w:ascii="Times New Roman" w:cs="Times New Roman" w:eastAsia="Times New Roman" w:hAnsi="Times New Roman"/>
          <w:sz w:val="18"/>
          <w:szCs w:val="18"/>
          <w:color w:val="auto"/>
        </w:rPr>
      </w:pPr>
    </w:p>
    <w:p>
      <w:pPr>
        <w:ind w:left="440" w:right="120" w:firstLine="419"/>
        <w:spacing w:after="0" w:line="261" w:lineRule="auto"/>
        <w:tabs>
          <w:tab w:leader="none" w:pos="111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The Guarantor hereby represents that (i) it is not insolvent as of the date hereof and will not be rendered insolvent as a result of this Guaranty Agreement, (ii) it is not engaged in business or a transaction, or about to engage in a business or a transaction, for which any property or assets remaining with such Guarantor is unreasonably small capital, and (iii) it does not intend to incur, or believe it will incur, debts that will be beyond its ability to pay as such debts mature.</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440" w:top="270" w:right="519" w:bottom="1440" w:gutter="0" w:footer="0" w:header="0"/>
        </w:sectPr>
      </w:pPr>
    </w:p>
    <w:bookmarkStart w:id="129" w:name="page130"/>
    <w:bookmarkEnd w:id="129"/>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3.2 </w:t>
      </w:r>
      <w:r>
        <w:rPr>
          <w:rFonts w:ascii="Times New Roman" w:cs="Times New Roman" w:eastAsia="Times New Roman" w:hAnsi="Times New Roman"/>
          <w:sz w:val="18"/>
          <w:szCs w:val="18"/>
          <w:u w:val="single" w:color="auto"/>
          <w:color w:val="auto"/>
        </w:rPr>
        <w:t>No Representation by Lenders</w:t>
      </w:r>
      <w:r>
        <w:rPr>
          <w:rFonts w:ascii="Times New Roman" w:cs="Times New Roman" w:eastAsia="Times New Roman" w:hAnsi="Times New Roman"/>
          <w:sz w:val="18"/>
          <w:szCs w:val="18"/>
          <w:color w:val="auto"/>
        </w:rPr>
        <w:t>. Neither the Lenders nor any other Person has made any representation, warranty or statement to the Guarantor in order to induce the Guarantor to execute this Guaranty Agreement.</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ARTICLE 4</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Subordination of Indebtedness</w:t>
      </w:r>
    </w:p>
    <w:p>
      <w:pPr>
        <w:spacing w:after="0" w:line="225"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Subordination of All Guarantor Claims</w:t>
      </w:r>
      <w:r>
        <w:rPr>
          <w:rFonts w:ascii="Times New Roman" w:cs="Times New Roman" w:eastAsia="Times New Roman" w:hAnsi="Times New Roman"/>
          <w:sz w:val="18"/>
          <w:szCs w:val="18"/>
          <w:color w:val="auto"/>
        </w:rPr>
        <w:t>. As used herein, the term “</w:t>
      </w:r>
      <w:r>
        <w:rPr>
          <w:rFonts w:ascii="Times New Roman" w:cs="Times New Roman" w:eastAsia="Times New Roman" w:hAnsi="Times New Roman"/>
          <w:sz w:val="18"/>
          <w:szCs w:val="18"/>
          <w:u w:val="single" w:color="auto"/>
          <w:color w:val="auto"/>
        </w:rPr>
        <w:t>Guarantor Claims</w:t>
      </w:r>
      <w:r>
        <w:rPr>
          <w:rFonts w:ascii="Times New Roman" w:cs="Times New Roman" w:eastAsia="Times New Roman" w:hAnsi="Times New Roman"/>
          <w:sz w:val="18"/>
          <w:szCs w:val="18"/>
          <w:color w:val="auto"/>
        </w:rPr>
        <w:t>” shall mean all debts and liabilities of Borrower to Guarantor, whether such debts and liabilities now exist or are hereafter incurred or arise, or whether the obligation of Borrower thereon be direct, contingent, primary, secondary, several, joint and several, or otherwise, and irrespective of whether such debts or liabilities be evidenced by note, contract, open account, or otherwise, and irrespective of the person or persons in whose favor such debts or liabilities may, at their inception, have been, or may hereafter be created, or the manner in which they have been or may hereafter be acquired by Guarantor. The Guarantor Claims shall include without limitation all rights and claims of Guarantor against Borrower arising as a result of subrogation or otherwise as a result of Guarantor’s payment of all or a portion of the Liabilities. Until the Liabilities shall be paid and satisfied in full and Guarantor shall have performed all of its obligations hereunder, Guarantor shall not receive or collect, directly or indirectly, from Borrower or any other party any amount upon the Guarantor Claims if an Event of Default exists at the time of such receipt or collection.</w:t>
      </w:r>
    </w:p>
    <w:p>
      <w:pPr>
        <w:spacing w:after="0" w:line="188"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Claims in Bankruptcy</w:t>
      </w:r>
      <w:r>
        <w:rPr>
          <w:rFonts w:ascii="Times New Roman" w:cs="Times New Roman" w:eastAsia="Times New Roman" w:hAnsi="Times New Roman"/>
          <w:sz w:val="18"/>
          <w:szCs w:val="18"/>
          <w:color w:val="auto"/>
        </w:rPr>
        <w:t>. In the event of receivership, bankruptcy, reorganization, arrangement, debtor’s relief, or other insolvency proceedings involving Borrower as debtor, the Lenders shall have the right to prove their claim in any proceeding, so as to establish its rights hereunder and receive directly from the receiver, trustee or other court custodian, dividends and payments which would otherwise be payable upon Guarantor Claims up to the amount of the Liabilities. Guarantor hereby assigns such dividends and payments to the Lenders up to the amount of the Liabilities. Should the Agent or any Lender receive, for application upon the Liabilities, any such dividend or payment which is otherwise payable to Guarantor, and which, as between Borrower and Guarantor, shall constitute a credit upon the Guarantor Claims, then upon payment in full of the Liabilities, Guarantor shall become subrogated to the rights of the Lenders to the extent that such payments to the Lenders on the Guarantor Claims have contributed toward the liquidation of the Liabilities, and such subrogation shall be with respect to that proportion of the Liabilities which would have been unpaid if the Agent or a Lender had not received dividends or payments upon the Guarantor Claims.</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Payments Held in Trust</w:t>
      </w:r>
      <w:r>
        <w:rPr>
          <w:rFonts w:ascii="Times New Roman" w:cs="Times New Roman" w:eastAsia="Times New Roman" w:hAnsi="Times New Roman"/>
          <w:sz w:val="18"/>
          <w:szCs w:val="18"/>
          <w:color w:val="auto"/>
        </w:rPr>
        <w:t>. In the event that notwithstanding Sections 4.1 and 4.2 above, Guarantor should receive any funds, payments, claims or distributions which is prohibited by such Sections, Guarantor agrees to hold in trust for the Lenders an amount equal to the amount of all funds, payments, claims or distributions so received, and agrees that it shall have absolutely no dominion over the amount of such funds, payments, claims or distributions except to pay them promptly to the Agent, and Guarantor covenants promptly to pay the same to the Agent.</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130" w:name="page131"/>
    <w:bookmarkEnd w:id="130"/>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4.4 </w:t>
      </w:r>
      <w:r>
        <w:rPr>
          <w:rFonts w:ascii="Times New Roman" w:cs="Times New Roman" w:eastAsia="Times New Roman" w:hAnsi="Times New Roman"/>
          <w:sz w:val="18"/>
          <w:szCs w:val="18"/>
          <w:u w:val="single" w:color="auto"/>
          <w:color w:val="auto"/>
        </w:rPr>
        <w:t>Liens Subordinate</w:t>
      </w:r>
      <w:r>
        <w:rPr>
          <w:rFonts w:ascii="Times New Roman" w:cs="Times New Roman" w:eastAsia="Times New Roman" w:hAnsi="Times New Roman"/>
          <w:sz w:val="18"/>
          <w:szCs w:val="18"/>
          <w:color w:val="auto"/>
        </w:rPr>
        <w:t>. Guarantor agrees that any liens, security interests, judgment liens, charges or other encumbrances upon Borrower’s assets securing payment of the Guarantor Claims shall be and remain inferior and subordinate to any liens, security interests, judgment liens, charges or other encumbrances upon Borrower’s assets securing payment of the Liabilities, regardless of whether such encumbrances in favor of Guarantor, the Agent or the Lenders presently exist or are hereafter created or attach. Without the prior written consent of the Lenders, Guarantor shall not (a) exercise or enforce any creditor’s right it may have against the Borrower, or (b) foreclose, repossess, sequester or otherwise take steps or institute any action or proceeding (judicial or otherwise, including without limitation the commencement of or joinder in any liquidation, bankruptcy, rearrangement, debtor’s relief or insolvency proceeding) to enforce any lien, mortgages, deeds of trust, security interest, collateral rights, judgments or other encumbrances on assets of Borrower held by Guarantor.</w:t>
      </w:r>
    </w:p>
    <w:p>
      <w:pPr>
        <w:spacing w:after="0" w:line="19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Notation of Records</w:t>
      </w:r>
      <w:r>
        <w:rPr>
          <w:rFonts w:ascii="Times New Roman" w:cs="Times New Roman" w:eastAsia="Times New Roman" w:hAnsi="Times New Roman"/>
          <w:sz w:val="18"/>
          <w:szCs w:val="18"/>
          <w:color w:val="auto"/>
        </w:rPr>
        <w:t>. All promissory notes of the Borrower accepted by or held by Guarantor shall contain a specific written notice thereon that the indebtedness evidenced thereby is subordinated under the terms of this Guaranty Agreement.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Guaranty Agreement is and shall be in every particular available to the respective successors and assigns of the Agent and the Lenders and is and shall always be fully binding upon the legal representatives, heirs, successors and assigns of Guarantor, notwithstanding that some or all of the monies, the repayment of which is guaranteed by this Guaranty Agreement, may be actually advanced after any bankruptcy, receivership, reorganization, death, disability or other event affecting Guarantor.</w:t>
      </w:r>
    </w:p>
    <w:p>
      <w:pPr>
        <w:spacing w:after="0" w:line="180" w:lineRule="exact"/>
        <w:rPr>
          <w:sz w:val="20"/>
          <w:szCs w:val="20"/>
          <w:color w:val="auto"/>
        </w:rPr>
      </w:pPr>
    </w:p>
    <w:p>
      <w:pPr>
        <w:ind w:right="6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or demand to Guarantor under or in connection with this Guaranty Agreement may be given and shall conclusively be deemed and considered to have been given and received in accordance with Section 9.01 of the Credit Agreement, addressed to Guarantor at the address on the signature page hereof or at such other address provided by the Guarantor to the Agent in writing.</w:t>
      </w:r>
    </w:p>
    <w:p>
      <w:pPr>
        <w:spacing w:after="0" w:line="176"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This Guaranty Agreement is a contract made under and shall be construed in accordance with and governed by the laws of the State of New York.</w:t>
      </w:r>
    </w:p>
    <w:p>
      <w:pPr>
        <w:spacing w:after="0" w:line="162"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Invalidity</w:t>
      </w:r>
      <w:r>
        <w:rPr>
          <w:rFonts w:ascii="Times New Roman" w:cs="Times New Roman" w:eastAsia="Times New Roman" w:hAnsi="Times New Roman"/>
          <w:sz w:val="18"/>
          <w:szCs w:val="18"/>
          <w:color w:val="auto"/>
        </w:rPr>
        <w:t>. In the event that any one or more of the provisions contained in this Guaranty Agreement shall, for any reason, be held invalid, illegal or unenforceable in any respect, such invalidity, illegality or unenforceability shall not affect any other provision of this Guaranty Agreement.</w:t>
      </w:r>
    </w:p>
    <w:p>
      <w:pPr>
        <w:spacing w:after="0" w:line="17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Liability of General Partner and Manager</w:t>
      </w:r>
      <w:r>
        <w:rPr>
          <w:rFonts w:ascii="Times New Roman" w:cs="Times New Roman" w:eastAsia="Times New Roman" w:hAnsi="Times New Roman"/>
          <w:sz w:val="18"/>
          <w:szCs w:val="18"/>
          <w:color w:val="auto"/>
        </w:rPr>
        <w:t>. It is hereby understood and agreed that Enterprise Products Holdings LLC, the general partner of the Guarantor, shall have no personal liability, as general partner or otherwise, for the payment of the Liabilities or any amount owing or to be owing hereunder.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31" w:name="page132"/>
    <w:bookmarkEnd w:id="13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5.6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w:t>
      </w:r>
      <w:r>
        <w:rPr>
          <w:rFonts w:ascii="Times New Roman" w:cs="Times New Roman" w:eastAsia="Times New Roman" w:hAnsi="Times New Roman"/>
          <w:sz w:val="14"/>
          <w:szCs w:val="14"/>
          <w:b w:val="1"/>
          <w:bCs w:val="1"/>
          <w:u w:val="single" w:color="auto"/>
          <w:color w:val="auto"/>
        </w:rPr>
        <w: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W</w:t>
      </w:r>
      <w:r>
        <w:rPr>
          <w:rFonts w:ascii="Times New Roman" w:cs="Times New Roman" w:eastAsia="Times New Roman" w:hAnsi="Times New Roman"/>
          <w:sz w:val="14"/>
          <w:szCs w:val="14"/>
          <w:b w:val="1"/>
          <w:bCs w:val="1"/>
          <w:u w:val="single" w:color="auto"/>
          <w:color w:val="auto"/>
        </w:rPr>
        <w:t>RITTEN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G</w:t>
      </w:r>
      <w:r>
        <w:rPr>
          <w:rFonts w:ascii="Times New Roman" w:cs="Times New Roman" w:eastAsia="Times New Roman" w:hAnsi="Times New Roman"/>
          <w:sz w:val="14"/>
          <w:szCs w:val="14"/>
          <w:b w:val="1"/>
          <w:bCs w:val="1"/>
          <w:u w:val="single" w:color="auto"/>
          <w:color w:val="auto"/>
        </w:rPr>
        <w:t>UARANTY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w:t>
      </w:r>
      <w:r>
        <w:rPr>
          <w:rFonts w:ascii="Times New Roman" w:cs="Times New Roman" w:eastAsia="Times New Roman" w:hAnsi="Times New Roman"/>
          <w:sz w:val="14"/>
          <w:szCs w:val="14"/>
          <w:b w:val="1"/>
          <w:bCs w:val="1"/>
          <w:u w:val="single" w:color="auto"/>
          <w:color w:val="auto"/>
        </w:rPr>
        <w:t>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E</w:t>
      </w:r>
      <w:r>
        <w:rPr>
          <w:rFonts w:ascii="Times New Roman" w:cs="Times New Roman" w:eastAsia="Times New Roman" w:hAnsi="Times New Roman"/>
          <w:sz w:val="14"/>
          <w:szCs w:val="14"/>
          <w:b w:val="1"/>
          <w:bCs w:val="1"/>
          <w:u w:val="single" w:color="auto"/>
          <w:color w:val="auto"/>
        </w:rPr>
        <w:t>MBODIES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E</w:t>
      </w:r>
      <w:r>
        <w:rPr>
          <w:rFonts w:ascii="Times New Roman" w:cs="Times New Roman" w:eastAsia="Times New Roman" w:hAnsi="Times New Roman"/>
          <w:sz w:val="14"/>
          <w:szCs w:val="14"/>
          <w:b w:val="1"/>
          <w:bCs w:val="1"/>
          <w:u w:val="single" w:color="auto"/>
          <w:color w:val="auto"/>
        </w:rPr>
        <w:t>NTIRE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w:t>
      </w:r>
      <w:r>
        <w:rPr>
          <w:rFonts w:ascii="Times New Roman" w:cs="Times New Roman" w:eastAsia="Times New Roman" w:hAnsi="Times New Roman"/>
          <w:sz w:val="14"/>
          <w:szCs w:val="14"/>
          <w:b w:val="1"/>
          <w:bCs w:val="1"/>
          <w:u w:val="single" w:color="auto"/>
          <w:color w:val="auto"/>
        </w:rPr>
        <w:t>GREEMENT AND</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U</w:t>
      </w:r>
      <w:r>
        <w:rPr>
          <w:rFonts w:ascii="Times New Roman" w:cs="Times New Roman" w:eastAsia="Times New Roman" w:hAnsi="Times New Roman"/>
          <w:sz w:val="14"/>
          <w:szCs w:val="14"/>
          <w:b w:val="1"/>
          <w:bCs w:val="1"/>
          <w:u w:val="single" w:color="auto"/>
          <w:color w:val="auto"/>
        </w:rPr>
        <w:t>NDERSTANDING</w:t>
      </w:r>
      <w:r>
        <w:rPr>
          <w:rFonts w:ascii="Times New Roman" w:cs="Times New Roman" w:eastAsia="Times New Roman" w:hAnsi="Times New Roman"/>
          <w:sz w:val="18"/>
          <w:szCs w:val="18"/>
          <w:b w:val="1"/>
          <w:bCs w:val="1"/>
          <w:u w:val="single" w:color="auto"/>
          <w:color w:val="auto"/>
        </w:rPr>
        <w:t xml:space="preserve"> B</w:t>
      </w:r>
      <w:r>
        <w:rPr>
          <w:rFonts w:ascii="Times New Roman" w:cs="Times New Roman" w:eastAsia="Times New Roman" w:hAnsi="Times New Roman"/>
          <w:sz w:val="14"/>
          <w:szCs w:val="14"/>
          <w:b w:val="1"/>
          <w:bCs w:val="1"/>
          <w:u w:val="single" w:color="auto"/>
          <w:color w:val="auto"/>
        </w:rPr>
        <w:t>ETWEEN THE</w:t>
      </w:r>
      <w:r>
        <w:rPr>
          <w:rFonts w:ascii="Times New Roman" w:cs="Times New Roman" w:eastAsia="Times New Roman" w:hAnsi="Times New Roman"/>
          <w:sz w:val="18"/>
          <w:szCs w:val="18"/>
          <w:b w:val="1"/>
          <w:bCs w:val="1"/>
          <w:u w:val="single" w:color="auto"/>
          <w:color w:val="auto"/>
        </w:rPr>
        <w:t xml:space="preserve"> A</w:t>
      </w:r>
      <w:r>
        <w:rPr>
          <w:rFonts w:ascii="Times New Roman" w:cs="Times New Roman" w:eastAsia="Times New Roman" w:hAnsi="Times New Roman"/>
          <w:sz w:val="14"/>
          <w:szCs w:val="14"/>
          <w:b w:val="1"/>
          <w:bCs w:val="1"/>
          <w:u w:val="single" w:color="auto"/>
          <w:color w:val="auto"/>
        </w:rPr>
        <w:t>GENT</w:t>
      </w:r>
      <w:r>
        <w:rPr>
          <w:rFonts w:ascii="Times New Roman" w:cs="Times New Roman" w:eastAsia="Times New Roman" w:hAnsi="Times New Roman"/>
          <w:sz w:val="18"/>
          <w:szCs w:val="18"/>
          <w:b w:val="1"/>
          <w:bCs w:val="1"/>
          <w:u w:val="single" w:color="auto"/>
          <w:color w:val="auto"/>
        </w:rPr>
        <w:t>, T</w:t>
      </w:r>
      <w:r>
        <w:rPr>
          <w:rFonts w:ascii="Times New Roman" w:cs="Times New Roman" w:eastAsia="Times New Roman" w:hAnsi="Times New Roman"/>
          <w:sz w:val="14"/>
          <w:szCs w:val="14"/>
          <w:b w:val="1"/>
          <w:bCs w:val="1"/>
          <w:u w:val="single" w:color="auto"/>
          <w:color w:val="auto"/>
        </w:rPr>
        <w:t>HE</w:t>
      </w:r>
      <w:r>
        <w:rPr>
          <w:rFonts w:ascii="Times New Roman" w:cs="Times New Roman" w:eastAsia="Times New Roman" w:hAnsi="Times New Roman"/>
          <w:sz w:val="18"/>
          <w:szCs w:val="18"/>
          <w:b w:val="1"/>
          <w:bCs w:val="1"/>
          <w:u w:val="single" w:color="auto"/>
          <w:color w:val="auto"/>
        </w:rPr>
        <w:t xml:space="preserve"> L</w:t>
      </w:r>
      <w:r>
        <w:rPr>
          <w:rFonts w:ascii="Times New Roman" w:cs="Times New Roman" w:eastAsia="Times New Roman" w:hAnsi="Times New Roman"/>
          <w:sz w:val="14"/>
          <w:szCs w:val="14"/>
          <w:b w:val="1"/>
          <w:bCs w:val="1"/>
          <w:u w:val="single" w:color="auto"/>
          <w:color w:val="auto"/>
        </w:rPr>
        <w:t>ENDERS AND THE</w:t>
      </w:r>
      <w:r>
        <w:rPr>
          <w:rFonts w:ascii="Times New Roman" w:cs="Times New Roman" w:eastAsia="Times New Roman" w:hAnsi="Times New Roman"/>
          <w:sz w:val="18"/>
          <w:szCs w:val="18"/>
          <w:b w:val="1"/>
          <w:bCs w:val="1"/>
          <w:u w:val="single" w:color="auto"/>
          <w:color w:val="auto"/>
        </w:rPr>
        <w:t xml:space="preserve"> G</w:t>
      </w:r>
      <w:r>
        <w:rPr>
          <w:rFonts w:ascii="Times New Roman" w:cs="Times New Roman" w:eastAsia="Times New Roman" w:hAnsi="Times New Roman"/>
          <w:sz w:val="14"/>
          <w:szCs w:val="14"/>
          <w:b w:val="1"/>
          <w:bCs w:val="1"/>
          <w:u w:val="single" w:color="auto"/>
          <w:color w:val="auto"/>
        </w:rPr>
        <w:t>UARANTOR AND</w:t>
      </w:r>
      <w:r>
        <w:rPr>
          <w:rFonts w:ascii="Times New Roman" w:cs="Times New Roman" w:eastAsia="Times New Roman" w:hAnsi="Times New Roman"/>
          <w:sz w:val="18"/>
          <w:szCs w:val="18"/>
          <w:b w:val="1"/>
          <w:bCs w:val="1"/>
          <w:u w:val="single" w:color="auto"/>
          <w:color w:val="auto"/>
        </w:rPr>
        <w:t xml:space="preserve"> S</w:t>
      </w:r>
      <w:r>
        <w:rPr>
          <w:rFonts w:ascii="Times New Roman" w:cs="Times New Roman" w:eastAsia="Times New Roman" w:hAnsi="Times New Roman"/>
          <w:sz w:val="14"/>
          <w:szCs w:val="14"/>
          <w:b w:val="1"/>
          <w:bCs w:val="1"/>
          <w:u w:val="single" w:color="auto"/>
          <w:color w:val="auto"/>
        </w:rPr>
        <w:t>UPERSEDES</w:t>
      </w:r>
      <w:r>
        <w:rPr>
          <w:rFonts w:ascii="Times New Roman" w:cs="Times New Roman" w:eastAsia="Times New Roman" w:hAnsi="Times New Roman"/>
          <w:sz w:val="18"/>
          <w:szCs w:val="18"/>
          <w:b w:val="1"/>
          <w:bCs w:val="1"/>
          <w:u w:val="single" w:color="auto"/>
          <w:color w:val="auto"/>
        </w:rPr>
        <w:t xml:space="preserve"> A</w:t>
      </w:r>
      <w:r>
        <w:rPr>
          <w:rFonts w:ascii="Times New Roman" w:cs="Times New Roman" w:eastAsia="Times New Roman" w:hAnsi="Times New Roman"/>
          <w:sz w:val="14"/>
          <w:szCs w:val="14"/>
          <w:b w:val="1"/>
          <w:bCs w:val="1"/>
          <w:u w:val="single" w:color="auto"/>
          <w:color w:val="auto"/>
        </w:rPr>
        <w:t>LL</w:t>
      </w:r>
      <w:r>
        <w:rPr>
          <w:rFonts w:ascii="Times New Roman" w:cs="Times New Roman" w:eastAsia="Times New Roman" w:hAnsi="Times New Roman"/>
          <w:sz w:val="18"/>
          <w:szCs w:val="18"/>
          <w:b w:val="1"/>
          <w:bCs w:val="1"/>
          <w:u w:val="single" w:color="auto"/>
          <w:color w:val="auto"/>
        </w:rPr>
        <w:t xml:space="preserve"> O</w:t>
      </w:r>
      <w:r>
        <w:rPr>
          <w:rFonts w:ascii="Times New Roman" w:cs="Times New Roman" w:eastAsia="Times New Roman" w:hAnsi="Times New Roman"/>
          <w:sz w:val="14"/>
          <w:szCs w:val="14"/>
          <w:b w:val="1"/>
          <w:bCs w:val="1"/>
          <w:u w:val="single" w:color="auto"/>
          <w:color w:val="auto"/>
        </w:rPr>
        <w:t>THER</w:t>
      </w:r>
      <w:r>
        <w:rPr>
          <w:rFonts w:ascii="Times New Roman" w:cs="Times New Roman" w:eastAsia="Times New Roman" w:hAnsi="Times New Roman"/>
          <w:sz w:val="18"/>
          <w:szCs w:val="18"/>
          <w:b w:val="1"/>
          <w:bCs w:val="1"/>
          <w:u w:val="single" w:color="auto"/>
          <w:color w:val="auto"/>
        </w:rPr>
        <w:t xml:space="preserve"> A</w:t>
      </w:r>
      <w:r>
        <w:rPr>
          <w:rFonts w:ascii="Times New Roman" w:cs="Times New Roman" w:eastAsia="Times New Roman" w:hAnsi="Times New Roman"/>
          <w:sz w:val="14"/>
          <w:szCs w:val="14"/>
          <w:b w:val="1"/>
          <w:bCs w:val="1"/>
          <w:u w:val="single" w:color="auto"/>
          <w:color w:val="auto"/>
        </w:rPr>
        <w:t>GREEMENTS AND</w:t>
      </w:r>
    </w:p>
    <w:p>
      <w:pPr>
        <w:spacing w:after="0" w:line="9" w:lineRule="exact"/>
        <w:rPr>
          <w:sz w:val="20"/>
          <w:szCs w:val="20"/>
          <w:color w:val="auto"/>
        </w:rPr>
      </w:pPr>
    </w:p>
    <w:p>
      <w:pPr>
        <w:ind w:left="4" w:right="240"/>
        <w:spacing w:after="0" w:line="258" w:lineRule="auto"/>
        <w:rPr>
          <w:sz w:val="20"/>
          <w:szCs w:val="20"/>
          <w:color w:val="auto"/>
        </w:rPr>
      </w:pPr>
      <w:r>
        <w:rPr>
          <w:rFonts w:ascii="Times New Roman" w:cs="Times New Roman" w:eastAsia="Times New Roman" w:hAnsi="Times New Roman"/>
          <w:sz w:val="18"/>
          <w:szCs w:val="18"/>
          <w:b w:val="1"/>
          <w:bCs w:val="1"/>
          <w:u w:val="single" w:color="auto"/>
          <w:color w:val="auto"/>
        </w:rPr>
        <w:t>U</w:t>
      </w:r>
      <w:r>
        <w:rPr>
          <w:rFonts w:ascii="Times New Roman" w:cs="Times New Roman" w:eastAsia="Times New Roman" w:hAnsi="Times New Roman"/>
          <w:sz w:val="14"/>
          <w:szCs w:val="14"/>
          <w:b w:val="1"/>
          <w:bCs w:val="1"/>
          <w:u w:val="single" w:color="auto"/>
          <w:color w:val="auto"/>
        </w:rPr>
        <w:t>NDERSTANDINGS</w:t>
      </w:r>
      <w:r>
        <w:rPr>
          <w:rFonts w:ascii="Times New Roman" w:cs="Times New Roman" w:eastAsia="Times New Roman" w:hAnsi="Times New Roman"/>
          <w:sz w:val="18"/>
          <w:szCs w:val="18"/>
          <w:b w:val="1"/>
          <w:bCs w:val="1"/>
          <w:u w:val="single" w:color="auto"/>
          <w:color w:val="auto"/>
        </w:rPr>
        <w:t xml:space="preserve"> B</w:t>
      </w:r>
      <w:r>
        <w:rPr>
          <w:rFonts w:ascii="Times New Roman" w:cs="Times New Roman" w:eastAsia="Times New Roman" w:hAnsi="Times New Roman"/>
          <w:sz w:val="14"/>
          <w:szCs w:val="14"/>
          <w:b w:val="1"/>
          <w:bCs w:val="1"/>
          <w:u w:val="single" w:color="auto"/>
          <w:color w:val="auto"/>
        </w:rPr>
        <w:t>ETWEEN</w:t>
      </w:r>
      <w:r>
        <w:rPr>
          <w:rFonts w:ascii="Times New Roman" w:cs="Times New Roman" w:eastAsia="Times New Roman" w:hAnsi="Times New Roman"/>
          <w:sz w:val="18"/>
          <w:szCs w:val="18"/>
          <w:b w:val="1"/>
          <w:bCs w:val="1"/>
          <w:u w:val="single" w:color="auto"/>
          <w:color w:val="auto"/>
        </w:rPr>
        <w:t xml:space="preserve"> S</w:t>
      </w:r>
      <w:r>
        <w:rPr>
          <w:rFonts w:ascii="Times New Roman" w:cs="Times New Roman" w:eastAsia="Times New Roman" w:hAnsi="Times New Roman"/>
          <w:sz w:val="14"/>
          <w:szCs w:val="14"/>
          <w:b w:val="1"/>
          <w:bCs w:val="1"/>
          <w:u w:val="single" w:color="auto"/>
          <w:color w:val="auto"/>
        </w:rPr>
        <w:t>UCH</w:t>
      </w:r>
      <w:r>
        <w:rPr>
          <w:rFonts w:ascii="Times New Roman" w:cs="Times New Roman" w:eastAsia="Times New Roman" w:hAnsi="Times New Roman"/>
          <w:sz w:val="18"/>
          <w:szCs w:val="18"/>
          <w:b w:val="1"/>
          <w:bCs w:val="1"/>
          <w:u w:val="single" w:color="auto"/>
          <w:color w:val="auto"/>
        </w:rPr>
        <w:t xml:space="preserve"> P</w:t>
      </w:r>
      <w:r>
        <w:rPr>
          <w:rFonts w:ascii="Times New Roman" w:cs="Times New Roman" w:eastAsia="Times New Roman" w:hAnsi="Times New Roman"/>
          <w:sz w:val="14"/>
          <w:szCs w:val="14"/>
          <w:b w:val="1"/>
          <w:bCs w:val="1"/>
          <w:u w:val="single" w:color="auto"/>
          <w:color w:val="auto"/>
        </w:rPr>
        <w:t>ARTIES</w:t>
      </w:r>
      <w:r>
        <w:rPr>
          <w:rFonts w:ascii="Times New Roman" w:cs="Times New Roman" w:eastAsia="Times New Roman" w:hAnsi="Times New Roman"/>
          <w:sz w:val="18"/>
          <w:szCs w:val="18"/>
          <w:b w:val="1"/>
          <w:bCs w:val="1"/>
          <w:u w:val="single" w:color="auto"/>
          <w:color w:val="auto"/>
        </w:rPr>
        <w:t xml:space="preserve"> R</w:t>
      </w:r>
      <w:r>
        <w:rPr>
          <w:rFonts w:ascii="Times New Roman" w:cs="Times New Roman" w:eastAsia="Times New Roman" w:hAnsi="Times New Roman"/>
          <w:sz w:val="14"/>
          <w:szCs w:val="14"/>
          <w:b w:val="1"/>
          <w:bCs w:val="1"/>
          <w:u w:val="single" w:color="auto"/>
          <w:color w:val="auto"/>
        </w:rPr>
        <w:t>ELATING TO THE</w:t>
      </w:r>
      <w:r>
        <w:rPr>
          <w:rFonts w:ascii="Times New Roman" w:cs="Times New Roman" w:eastAsia="Times New Roman" w:hAnsi="Times New Roman"/>
          <w:sz w:val="18"/>
          <w:szCs w:val="18"/>
          <w:b w:val="1"/>
          <w:bCs w:val="1"/>
          <w:u w:val="single" w:color="auto"/>
          <w:color w:val="auto"/>
        </w:rPr>
        <w:t xml:space="preserve"> S</w:t>
      </w:r>
      <w:r>
        <w:rPr>
          <w:rFonts w:ascii="Times New Roman" w:cs="Times New Roman" w:eastAsia="Times New Roman" w:hAnsi="Times New Roman"/>
          <w:sz w:val="14"/>
          <w:szCs w:val="14"/>
          <w:b w:val="1"/>
          <w:bCs w:val="1"/>
          <w:u w:val="single" w:color="auto"/>
          <w:color w:val="auto"/>
        </w:rPr>
        <w:t>UBJECT</w:t>
      </w:r>
      <w:r>
        <w:rPr>
          <w:rFonts w:ascii="Times New Roman" w:cs="Times New Roman" w:eastAsia="Times New Roman" w:hAnsi="Times New Roman"/>
          <w:sz w:val="18"/>
          <w:szCs w:val="18"/>
          <w:b w:val="1"/>
          <w:bCs w:val="1"/>
          <w:u w:val="single" w:color="auto"/>
          <w:color w:val="auto"/>
        </w:rPr>
        <w:t xml:space="preserve"> M</w:t>
      </w:r>
      <w:r>
        <w:rPr>
          <w:rFonts w:ascii="Times New Roman" w:cs="Times New Roman" w:eastAsia="Times New Roman" w:hAnsi="Times New Roman"/>
          <w:sz w:val="14"/>
          <w:szCs w:val="14"/>
          <w:b w:val="1"/>
          <w:bCs w:val="1"/>
          <w:u w:val="single" w:color="auto"/>
          <w:color w:val="auto"/>
        </w:rPr>
        <w:t>ATTER</w:t>
      </w:r>
      <w:r>
        <w:rPr>
          <w:rFonts w:ascii="Times New Roman" w:cs="Times New Roman" w:eastAsia="Times New Roman" w:hAnsi="Times New Roman"/>
          <w:sz w:val="18"/>
          <w:szCs w:val="18"/>
          <w:b w:val="1"/>
          <w:bCs w:val="1"/>
          <w:u w:val="single" w:color="auto"/>
          <w:color w:val="auto"/>
        </w:rPr>
        <w:t xml:space="preserve"> H</w:t>
      </w:r>
      <w:r>
        <w:rPr>
          <w:rFonts w:ascii="Times New Roman" w:cs="Times New Roman" w:eastAsia="Times New Roman" w:hAnsi="Times New Roman"/>
          <w:sz w:val="14"/>
          <w:szCs w:val="14"/>
          <w:b w:val="1"/>
          <w:bCs w:val="1"/>
          <w:u w:val="single" w:color="auto"/>
          <w:color w:val="auto"/>
        </w:rPr>
        <w:t>EREOF AND</w:t>
      </w:r>
      <w:r>
        <w:rPr>
          <w:rFonts w:ascii="Times New Roman" w:cs="Times New Roman" w:eastAsia="Times New Roman" w:hAnsi="Times New Roman"/>
          <w:sz w:val="18"/>
          <w:szCs w:val="18"/>
          <w:b w:val="1"/>
          <w:bCs w:val="1"/>
          <w:u w:val="single" w:color="auto"/>
          <w:color w:val="auto"/>
        </w:rPr>
        <w:t xml:space="preserve"> T</w:t>
      </w:r>
      <w:r>
        <w:rPr>
          <w:rFonts w:ascii="Times New Roman" w:cs="Times New Roman" w:eastAsia="Times New Roman" w:hAnsi="Times New Roman"/>
          <w:sz w:val="14"/>
          <w:szCs w:val="14"/>
          <w:b w:val="1"/>
          <w:bCs w:val="1"/>
          <w:u w:val="single" w:color="auto"/>
          <w:color w:val="auto"/>
        </w:rPr>
        <w:t>HEREOF</w:t>
      </w:r>
      <w:r>
        <w:rPr>
          <w:rFonts w:ascii="Times New Roman" w:cs="Times New Roman" w:eastAsia="Times New Roman" w:hAnsi="Times New Roman"/>
          <w:sz w:val="18"/>
          <w:szCs w:val="18"/>
          <w:b w:val="1"/>
          <w:bCs w:val="1"/>
          <w:u w:val="single" w:color="auto"/>
          <w:color w:val="auto"/>
        </w:rPr>
        <w:t>. T</w:t>
      </w:r>
      <w:r>
        <w:rPr>
          <w:rFonts w:ascii="Times New Roman" w:cs="Times New Roman" w:eastAsia="Times New Roman" w:hAnsi="Times New Roman"/>
          <w:sz w:val="14"/>
          <w:szCs w:val="14"/>
          <w:b w:val="1"/>
          <w:bCs w:val="1"/>
          <w:u w:val="single" w:color="auto"/>
          <w:color w:val="auto"/>
        </w:rPr>
        <w:t>HIS</w:t>
      </w:r>
      <w:r>
        <w:rPr>
          <w:rFonts w:ascii="Times New Roman" w:cs="Times New Roman" w:eastAsia="Times New Roman" w:hAnsi="Times New Roman"/>
          <w:sz w:val="18"/>
          <w:szCs w:val="18"/>
          <w:b w:val="1"/>
          <w:bCs w:val="1"/>
          <w:u w:val="single" w:color="auto"/>
          <w:color w:val="auto"/>
        </w:rPr>
        <w:t xml:space="preserve"> W</w:t>
      </w:r>
      <w:r>
        <w:rPr>
          <w:rFonts w:ascii="Times New Roman" w:cs="Times New Roman" w:eastAsia="Times New Roman" w:hAnsi="Times New Roman"/>
          <w:sz w:val="14"/>
          <w:szCs w:val="14"/>
          <w:b w:val="1"/>
          <w:bCs w:val="1"/>
          <w:u w:val="single" w:color="auto"/>
          <w:color w:val="auto"/>
        </w:rPr>
        <w:t>RITTEN</w:t>
      </w:r>
      <w:r>
        <w:rPr>
          <w:rFonts w:ascii="Times New Roman" w:cs="Times New Roman" w:eastAsia="Times New Roman" w:hAnsi="Times New Roman"/>
          <w:sz w:val="18"/>
          <w:szCs w:val="18"/>
          <w:b w:val="1"/>
          <w:bCs w:val="1"/>
          <w:u w:val="single" w:color="auto"/>
          <w:color w:val="auto"/>
        </w:rPr>
        <w:t xml:space="preserve"> G</w:t>
      </w:r>
      <w:r>
        <w:rPr>
          <w:rFonts w:ascii="Times New Roman" w:cs="Times New Roman" w:eastAsia="Times New Roman" w:hAnsi="Times New Roman"/>
          <w:sz w:val="14"/>
          <w:szCs w:val="14"/>
          <w:b w:val="1"/>
          <w:bCs w:val="1"/>
          <w:u w:val="single" w:color="auto"/>
          <w:color w:val="auto"/>
        </w:rPr>
        <w:t>UARANTY</w:t>
      </w:r>
      <w:r>
        <w:rPr>
          <w:rFonts w:ascii="Times New Roman" w:cs="Times New Roman" w:eastAsia="Times New Roman" w:hAnsi="Times New Roman"/>
          <w:sz w:val="18"/>
          <w:szCs w:val="18"/>
          <w:b w:val="1"/>
          <w:bCs w:val="1"/>
          <w:u w:val="single" w:color="auto"/>
          <w:color w:val="auto"/>
        </w:rPr>
        <w:t xml:space="preserve"> A</w:t>
      </w:r>
      <w:r>
        <w:rPr>
          <w:rFonts w:ascii="Times New Roman" w:cs="Times New Roman" w:eastAsia="Times New Roman" w:hAnsi="Times New Roman"/>
          <w:sz w:val="14"/>
          <w:szCs w:val="14"/>
          <w:b w:val="1"/>
          <w:bCs w:val="1"/>
          <w:u w:val="single" w:color="auto"/>
          <w:color w:val="auto"/>
        </w:rPr>
        <w:t>GREEMENT</w:t>
      </w:r>
      <w:r>
        <w:rPr>
          <w:rFonts w:ascii="Times New Roman" w:cs="Times New Roman" w:eastAsia="Times New Roman" w:hAnsi="Times New Roman"/>
          <w:sz w:val="18"/>
          <w:szCs w:val="18"/>
          <w:b w:val="1"/>
          <w:bCs w:val="1"/>
          <w:u w:val="single" w:color="auto"/>
          <w:color w:val="auto"/>
        </w:rPr>
        <w:t xml:space="preserve"> R</w:t>
      </w:r>
      <w:r>
        <w:rPr>
          <w:rFonts w:ascii="Times New Roman" w:cs="Times New Roman" w:eastAsia="Times New Roman" w:hAnsi="Times New Roman"/>
          <w:sz w:val="14"/>
          <w:szCs w:val="14"/>
          <w:b w:val="1"/>
          <w:bCs w:val="1"/>
          <w:u w:val="single" w:color="auto"/>
          <w:color w:val="auto"/>
        </w:rPr>
        <w:t>EPRESENTS THE</w:t>
      </w:r>
      <w:r>
        <w:rPr>
          <w:rFonts w:ascii="Times New Roman" w:cs="Times New Roman" w:eastAsia="Times New Roman" w:hAnsi="Times New Roman"/>
          <w:sz w:val="18"/>
          <w:szCs w:val="18"/>
          <w:b w:val="1"/>
          <w:bCs w:val="1"/>
          <w:u w:val="single" w:color="auto"/>
          <w:color w:val="auto"/>
        </w:rPr>
        <w:t xml:space="preserve"> F</w:t>
      </w:r>
      <w:r>
        <w:rPr>
          <w:rFonts w:ascii="Times New Roman" w:cs="Times New Roman" w:eastAsia="Times New Roman" w:hAnsi="Times New Roman"/>
          <w:sz w:val="14"/>
          <w:szCs w:val="14"/>
          <w:b w:val="1"/>
          <w:bCs w:val="1"/>
          <w:u w:val="single" w:color="auto"/>
          <w:color w:val="auto"/>
        </w:rPr>
        <w:t>INAL</w:t>
      </w:r>
      <w:r>
        <w:rPr>
          <w:rFonts w:ascii="Times New Roman" w:cs="Times New Roman" w:eastAsia="Times New Roman" w:hAnsi="Times New Roman"/>
          <w:sz w:val="18"/>
          <w:szCs w:val="18"/>
          <w:b w:val="1"/>
          <w:bCs w:val="1"/>
          <w:u w:val="single" w:color="auto"/>
          <w:color w:val="auto"/>
        </w:rPr>
        <w:t xml:space="preserve"> A</w:t>
      </w:r>
      <w:r>
        <w:rPr>
          <w:rFonts w:ascii="Times New Roman" w:cs="Times New Roman" w:eastAsia="Times New Roman" w:hAnsi="Times New Roman"/>
          <w:sz w:val="14"/>
          <w:szCs w:val="14"/>
          <w:b w:val="1"/>
          <w:bCs w:val="1"/>
          <w:u w:val="single" w:color="auto"/>
          <w:color w:val="auto"/>
        </w:rPr>
        <w:t>GREEMENT</w:t>
      </w:r>
      <w:r>
        <w:rPr>
          <w:rFonts w:ascii="Times New Roman" w:cs="Times New Roman" w:eastAsia="Times New Roman" w:hAnsi="Times New Roman"/>
          <w:sz w:val="18"/>
          <w:szCs w:val="18"/>
          <w:b w:val="1"/>
          <w:bCs w:val="1"/>
          <w:u w:val="single" w:color="auto"/>
          <w:color w:val="auto"/>
        </w:rPr>
        <w:t xml:space="preserve"> B</w:t>
      </w:r>
      <w:r>
        <w:rPr>
          <w:rFonts w:ascii="Times New Roman" w:cs="Times New Roman" w:eastAsia="Times New Roman" w:hAnsi="Times New Roman"/>
          <w:sz w:val="14"/>
          <w:szCs w:val="14"/>
          <w:b w:val="1"/>
          <w:bCs w:val="1"/>
          <w:u w:val="single" w:color="auto"/>
          <w:color w:val="auto"/>
        </w:rPr>
        <w:t>ETWEEN THE</w:t>
      </w:r>
      <w:r>
        <w:rPr>
          <w:rFonts w:ascii="Times New Roman" w:cs="Times New Roman" w:eastAsia="Times New Roman" w:hAnsi="Times New Roman"/>
          <w:sz w:val="18"/>
          <w:szCs w:val="18"/>
          <w:b w:val="1"/>
          <w:bCs w:val="1"/>
          <w:u w:val="single" w:color="auto"/>
          <w:color w:val="auto"/>
        </w:rPr>
        <w:t xml:space="preserve"> P</w:t>
      </w:r>
      <w:r>
        <w:rPr>
          <w:rFonts w:ascii="Times New Roman" w:cs="Times New Roman" w:eastAsia="Times New Roman" w:hAnsi="Times New Roman"/>
          <w:sz w:val="14"/>
          <w:szCs w:val="14"/>
          <w:b w:val="1"/>
          <w:bCs w:val="1"/>
          <w:u w:val="single" w:color="auto"/>
          <w:color w:val="auto"/>
        </w:rPr>
        <w:t>ARTIES AND</w:t>
      </w:r>
      <w:r>
        <w:rPr>
          <w:rFonts w:ascii="Times New Roman" w:cs="Times New Roman" w:eastAsia="Times New Roman" w:hAnsi="Times New Roman"/>
          <w:sz w:val="18"/>
          <w:szCs w:val="18"/>
          <w:b w:val="1"/>
          <w:bCs w:val="1"/>
          <w:u w:val="single" w:color="auto"/>
          <w:color w:val="auto"/>
        </w:rPr>
        <w:t xml:space="preserve"> M</w:t>
      </w:r>
      <w:r>
        <w:rPr>
          <w:rFonts w:ascii="Times New Roman" w:cs="Times New Roman" w:eastAsia="Times New Roman" w:hAnsi="Times New Roman"/>
          <w:sz w:val="14"/>
          <w:szCs w:val="14"/>
          <w:b w:val="1"/>
          <w:bCs w:val="1"/>
          <w:u w:val="single" w:color="auto"/>
          <w:color w:val="auto"/>
        </w:rPr>
        <w:t>AY</w:t>
      </w:r>
      <w:r>
        <w:rPr>
          <w:rFonts w:ascii="Times New Roman" w:cs="Times New Roman" w:eastAsia="Times New Roman" w:hAnsi="Times New Roman"/>
          <w:sz w:val="18"/>
          <w:szCs w:val="18"/>
          <w:b w:val="1"/>
          <w:bCs w:val="1"/>
          <w:u w:val="single" w:color="auto"/>
          <w:color w:val="auto"/>
        </w:rPr>
        <w:t xml:space="preserve"> N</w:t>
      </w:r>
      <w:r>
        <w:rPr>
          <w:rFonts w:ascii="Times New Roman" w:cs="Times New Roman" w:eastAsia="Times New Roman" w:hAnsi="Times New Roman"/>
          <w:sz w:val="14"/>
          <w:szCs w:val="14"/>
          <w:b w:val="1"/>
          <w:bCs w:val="1"/>
          <w:u w:val="single" w:color="auto"/>
          <w:color w:val="auto"/>
        </w:rPr>
        <w:t>OT</w:t>
      </w:r>
      <w:r>
        <w:rPr>
          <w:rFonts w:ascii="Times New Roman" w:cs="Times New Roman" w:eastAsia="Times New Roman" w:hAnsi="Times New Roman"/>
          <w:sz w:val="18"/>
          <w:szCs w:val="18"/>
          <w:b w:val="1"/>
          <w:bCs w:val="1"/>
          <w:u w:val="single" w:color="auto"/>
          <w:color w:val="auto"/>
        </w:rPr>
        <w:t xml:space="preserve"> B</w:t>
      </w:r>
      <w:r>
        <w:rPr>
          <w:rFonts w:ascii="Times New Roman" w:cs="Times New Roman" w:eastAsia="Times New Roman" w:hAnsi="Times New Roman"/>
          <w:sz w:val="14"/>
          <w:szCs w:val="14"/>
          <w:b w:val="1"/>
          <w:bCs w:val="1"/>
          <w:u w:val="single" w:color="auto"/>
          <w:color w:val="auto"/>
        </w:rPr>
        <w:t>E</w:t>
      </w:r>
      <w:r>
        <w:rPr>
          <w:rFonts w:ascii="Times New Roman" w:cs="Times New Roman" w:eastAsia="Times New Roman" w:hAnsi="Times New Roman"/>
          <w:sz w:val="18"/>
          <w:szCs w:val="18"/>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ONTRADICTED BY</w:t>
      </w:r>
      <w:r>
        <w:rPr>
          <w:rFonts w:ascii="Times New Roman" w:cs="Times New Roman" w:eastAsia="Times New Roman" w:hAnsi="Times New Roman"/>
          <w:sz w:val="18"/>
          <w:szCs w:val="18"/>
          <w:b w:val="1"/>
          <w:bCs w:val="1"/>
          <w:u w:val="single" w:color="auto"/>
          <w:color w:val="auto"/>
        </w:rPr>
        <w:t xml:space="preserve"> E</w:t>
      </w:r>
      <w:r>
        <w:rPr>
          <w:rFonts w:ascii="Times New Roman" w:cs="Times New Roman" w:eastAsia="Times New Roman" w:hAnsi="Times New Roman"/>
          <w:sz w:val="14"/>
          <w:szCs w:val="14"/>
          <w:b w:val="1"/>
          <w:bCs w:val="1"/>
          <w:u w:val="single" w:color="auto"/>
          <w:color w:val="auto"/>
        </w:rPr>
        <w:t>VIDENCE OF</w:t>
      </w:r>
      <w:r>
        <w:rPr>
          <w:rFonts w:ascii="Times New Roman" w:cs="Times New Roman" w:eastAsia="Times New Roman" w:hAnsi="Times New Roman"/>
          <w:sz w:val="18"/>
          <w:szCs w:val="18"/>
          <w:b w:val="1"/>
          <w:bCs w:val="1"/>
          <w:u w:val="single" w:color="auto"/>
          <w:color w:val="auto"/>
        </w:rPr>
        <w:t xml:space="preserve"> P</w:t>
      </w:r>
      <w:r>
        <w:rPr>
          <w:rFonts w:ascii="Times New Roman" w:cs="Times New Roman" w:eastAsia="Times New Roman" w:hAnsi="Times New Roman"/>
          <w:sz w:val="14"/>
          <w:szCs w:val="14"/>
          <w:b w:val="1"/>
          <w:bCs w:val="1"/>
          <w:u w:val="single" w:color="auto"/>
          <w:color w:val="auto"/>
        </w:rPr>
        <w:t>RIOR</w:t>
      </w:r>
      <w:r>
        <w:rPr>
          <w:rFonts w:ascii="Times New Roman" w:cs="Times New Roman" w:eastAsia="Times New Roman" w:hAnsi="Times New Roman"/>
          <w:sz w:val="18"/>
          <w:szCs w:val="18"/>
          <w:b w:val="1"/>
          <w:bCs w:val="1"/>
          <w:u w:val="single" w:color="auto"/>
          <w:color w:val="auto"/>
        </w:rPr>
        <w:t>, C</w:t>
      </w:r>
      <w:r>
        <w:rPr>
          <w:rFonts w:ascii="Times New Roman" w:cs="Times New Roman" w:eastAsia="Times New Roman" w:hAnsi="Times New Roman"/>
          <w:sz w:val="14"/>
          <w:szCs w:val="14"/>
          <w:b w:val="1"/>
          <w:bCs w:val="1"/>
          <w:u w:val="single" w:color="auto"/>
          <w:color w:val="auto"/>
        </w:rPr>
        <w:t>ONTEMPORANEOUS</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4"/>
          <w:szCs w:val="14"/>
          <w:b w:val="1"/>
          <w:bCs w:val="1"/>
          <w:u w:val="single" w:color="auto"/>
          <w:color w:val="auto"/>
        </w:rPr>
        <w:t>OR</w:t>
      </w:r>
      <w:r>
        <w:rPr>
          <w:rFonts w:ascii="Times New Roman" w:cs="Times New Roman" w:eastAsia="Times New Roman" w:hAnsi="Times New Roman"/>
          <w:sz w:val="18"/>
          <w:szCs w:val="18"/>
          <w:b w:val="1"/>
          <w:bCs w:val="1"/>
          <w:u w:val="single" w:color="auto"/>
          <w:color w:val="auto"/>
        </w:rPr>
        <w:t xml:space="preserve"> S</w:t>
      </w:r>
      <w:r>
        <w:rPr>
          <w:rFonts w:ascii="Times New Roman" w:cs="Times New Roman" w:eastAsia="Times New Roman" w:hAnsi="Times New Roman"/>
          <w:sz w:val="14"/>
          <w:szCs w:val="14"/>
          <w:b w:val="1"/>
          <w:bCs w:val="1"/>
          <w:u w:val="single" w:color="auto"/>
          <w:color w:val="auto"/>
        </w:rPr>
        <w:t>UBSEQUENT</w:t>
      </w:r>
      <w:r>
        <w:rPr>
          <w:rFonts w:ascii="Times New Roman" w:cs="Times New Roman" w:eastAsia="Times New Roman" w:hAnsi="Times New Roman"/>
          <w:sz w:val="18"/>
          <w:szCs w:val="18"/>
          <w:b w:val="1"/>
          <w:bCs w:val="1"/>
          <w:u w:val="single" w:color="auto"/>
          <w:color w:val="auto"/>
        </w:rPr>
        <w:t xml:space="preserve"> O</w:t>
      </w:r>
      <w:r>
        <w:rPr>
          <w:rFonts w:ascii="Times New Roman" w:cs="Times New Roman" w:eastAsia="Times New Roman" w:hAnsi="Times New Roman"/>
          <w:sz w:val="14"/>
          <w:szCs w:val="14"/>
          <w:b w:val="1"/>
          <w:bCs w:val="1"/>
          <w:u w:val="single" w:color="auto"/>
          <w:color w:val="auto"/>
        </w:rPr>
        <w:t>RAL</w:t>
      </w:r>
      <w:r>
        <w:rPr>
          <w:rFonts w:ascii="Times New Roman" w:cs="Times New Roman" w:eastAsia="Times New Roman" w:hAnsi="Times New Roman"/>
          <w:sz w:val="18"/>
          <w:szCs w:val="18"/>
          <w:b w:val="1"/>
          <w:bCs w:val="1"/>
          <w:u w:val="single" w:color="auto"/>
          <w:color w:val="auto"/>
        </w:rPr>
        <w:t xml:space="preserve"> A</w:t>
      </w:r>
      <w:r>
        <w:rPr>
          <w:rFonts w:ascii="Times New Roman" w:cs="Times New Roman" w:eastAsia="Times New Roman" w:hAnsi="Times New Roman"/>
          <w:sz w:val="14"/>
          <w:szCs w:val="14"/>
          <w:b w:val="1"/>
          <w:bCs w:val="1"/>
          <w:u w:val="single" w:color="auto"/>
          <w:color w:val="auto"/>
        </w:rPr>
        <w:t>GREEMENTS OF THE</w:t>
      </w:r>
      <w:r>
        <w:rPr>
          <w:rFonts w:ascii="Times New Roman" w:cs="Times New Roman" w:eastAsia="Times New Roman" w:hAnsi="Times New Roman"/>
          <w:sz w:val="18"/>
          <w:szCs w:val="18"/>
          <w:b w:val="1"/>
          <w:bCs w:val="1"/>
          <w:u w:val="single" w:color="auto"/>
          <w:color w:val="auto"/>
        </w:rPr>
        <w:t xml:space="preserve"> P</w:t>
      </w:r>
      <w:r>
        <w:rPr>
          <w:rFonts w:ascii="Times New Roman" w:cs="Times New Roman" w:eastAsia="Times New Roman" w:hAnsi="Times New Roman"/>
          <w:sz w:val="14"/>
          <w:szCs w:val="14"/>
          <w:b w:val="1"/>
          <w:bCs w:val="1"/>
          <w:u w:val="single" w:color="auto"/>
          <w:color w:val="auto"/>
        </w:rPr>
        <w:t>ARTIES</w:t>
      </w:r>
      <w:r>
        <w:rPr>
          <w:rFonts w:ascii="Times New Roman" w:cs="Times New Roman" w:eastAsia="Times New Roman" w:hAnsi="Times New Roman"/>
          <w:sz w:val="18"/>
          <w:szCs w:val="18"/>
          <w:b w:val="1"/>
          <w:bCs w:val="1"/>
          <w:u w:val="single" w:color="auto"/>
          <w:color w:val="auto"/>
        </w:rPr>
        <w:t>. T</w:t>
      </w:r>
      <w:r>
        <w:rPr>
          <w:rFonts w:ascii="Times New Roman" w:cs="Times New Roman" w:eastAsia="Times New Roman" w:hAnsi="Times New Roman"/>
          <w:sz w:val="14"/>
          <w:szCs w:val="14"/>
          <w:b w:val="1"/>
          <w:bCs w:val="1"/>
          <w:u w:val="single" w:color="auto"/>
          <w:color w:val="auto"/>
        </w:rPr>
        <w:t>HERE</w:t>
      </w:r>
      <w:r>
        <w:rPr>
          <w:rFonts w:ascii="Times New Roman" w:cs="Times New Roman" w:eastAsia="Times New Roman" w:hAnsi="Times New Roman"/>
          <w:sz w:val="18"/>
          <w:szCs w:val="18"/>
          <w:b w:val="1"/>
          <w:bCs w:val="1"/>
          <w:u w:val="single" w:color="auto"/>
          <w:color w:val="auto"/>
        </w:rPr>
        <w:t xml:space="preserve"> A</w:t>
      </w:r>
      <w:r>
        <w:rPr>
          <w:rFonts w:ascii="Times New Roman" w:cs="Times New Roman" w:eastAsia="Times New Roman" w:hAnsi="Times New Roman"/>
          <w:sz w:val="14"/>
          <w:szCs w:val="14"/>
          <w:b w:val="1"/>
          <w:bCs w:val="1"/>
          <w:u w:val="single" w:color="auto"/>
          <w:color w:val="auto"/>
        </w:rPr>
        <w:t>RE</w:t>
      </w:r>
      <w:r>
        <w:rPr>
          <w:rFonts w:ascii="Times New Roman" w:cs="Times New Roman" w:eastAsia="Times New Roman" w:hAnsi="Times New Roman"/>
          <w:sz w:val="18"/>
          <w:szCs w:val="18"/>
          <w:b w:val="1"/>
          <w:bCs w:val="1"/>
          <w:u w:val="single" w:color="auto"/>
          <w:color w:val="auto"/>
        </w:rPr>
        <w:t xml:space="preserve"> N</w:t>
      </w:r>
      <w:r>
        <w:rPr>
          <w:rFonts w:ascii="Times New Roman" w:cs="Times New Roman" w:eastAsia="Times New Roman" w:hAnsi="Times New Roman"/>
          <w:sz w:val="14"/>
          <w:szCs w:val="14"/>
          <w:b w:val="1"/>
          <w:bCs w:val="1"/>
          <w:u w:val="single" w:color="auto"/>
          <w:color w:val="auto"/>
        </w:rPr>
        <w:t>O</w:t>
      </w:r>
      <w:r>
        <w:rPr>
          <w:rFonts w:ascii="Times New Roman" w:cs="Times New Roman" w:eastAsia="Times New Roman" w:hAnsi="Times New Roman"/>
          <w:sz w:val="18"/>
          <w:szCs w:val="18"/>
          <w:b w:val="1"/>
          <w:bCs w:val="1"/>
          <w:u w:val="single" w:color="auto"/>
          <w:color w:val="auto"/>
        </w:rPr>
        <w:t xml:space="preserve"> U</w:t>
      </w:r>
      <w:r>
        <w:rPr>
          <w:rFonts w:ascii="Times New Roman" w:cs="Times New Roman" w:eastAsia="Times New Roman" w:hAnsi="Times New Roman"/>
          <w:sz w:val="14"/>
          <w:szCs w:val="14"/>
          <w:b w:val="1"/>
          <w:bCs w:val="1"/>
          <w:u w:val="single" w:color="auto"/>
          <w:color w:val="auto"/>
        </w:rPr>
        <w:t>NWRITTEN</w:t>
      </w:r>
      <w:r>
        <w:rPr>
          <w:rFonts w:ascii="Times New Roman" w:cs="Times New Roman" w:eastAsia="Times New Roman" w:hAnsi="Times New Roman"/>
          <w:sz w:val="18"/>
          <w:szCs w:val="18"/>
          <w:b w:val="1"/>
          <w:bCs w:val="1"/>
          <w:u w:val="single" w:color="auto"/>
          <w:color w:val="auto"/>
        </w:rPr>
        <w:t xml:space="preserve"> O</w:t>
      </w:r>
      <w:r>
        <w:rPr>
          <w:rFonts w:ascii="Times New Roman" w:cs="Times New Roman" w:eastAsia="Times New Roman" w:hAnsi="Times New Roman"/>
          <w:sz w:val="14"/>
          <w:szCs w:val="14"/>
          <w:b w:val="1"/>
          <w:bCs w:val="1"/>
          <w:u w:val="single" w:color="auto"/>
          <w:color w:val="auto"/>
        </w:rPr>
        <w:t>RAL</w:t>
      </w:r>
      <w:r>
        <w:rPr>
          <w:rFonts w:ascii="Times New Roman" w:cs="Times New Roman" w:eastAsia="Times New Roman" w:hAnsi="Times New Roman"/>
          <w:sz w:val="18"/>
          <w:szCs w:val="18"/>
          <w:b w:val="1"/>
          <w:bCs w:val="1"/>
          <w:u w:val="single" w:color="auto"/>
          <w:color w:val="auto"/>
        </w:rPr>
        <w:t xml:space="preserve"> A</w:t>
      </w:r>
      <w:r>
        <w:rPr>
          <w:rFonts w:ascii="Times New Roman" w:cs="Times New Roman" w:eastAsia="Times New Roman" w:hAnsi="Times New Roman"/>
          <w:sz w:val="14"/>
          <w:szCs w:val="14"/>
          <w:b w:val="1"/>
          <w:bCs w:val="1"/>
          <w:u w:val="single" w:color="auto"/>
          <w:color w:val="auto"/>
        </w:rPr>
        <w:t>GREEMENTS</w:t>
      </w:r>
      <w:r>
        <w:rPr>
          <w:rFonts w:ascii="Times New Roman" w:cs="Times New Roman" w:eastAsia="Times New Roman" w:hAnsi="Times New Roman"/>
          <w:sz w:val="18"/>
          <w:szCs w:val="18"/>
          <w:b w:val="1"/>
          <w:bCs w:val="1"/>
          <w:u w:val="single" w:color="auto"/>
          <w:color w:val="auto"/>
        </w:rPr>
        <w:t xml:space="preserve"> B</w:t>
      </w:r>
      <w:r>
        <w:rPr>
          <w:rFonts w:ascii="Times New Roman" w:cs="Times New Roman" w:eastAsia="Times New Roman" w:hAnsi="Times New Roman"/>
          <w:sz w:val="14"/>
          <w:szCs w:val="14"/>
          <w:b w:val="1"/>
          <w:bCs w:val="1"/>
          <w:u w:val="single" w:color="auto"/>
          <w:color w:val="auto"/>
        </w:rPr>
        <w:t>ETWEEN</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4"/>
          <w:szCs w:val="14"/>
          <w:b w:val="1"/>
          <w:bCs w:val="1"/>
          <w:u w:val="single" w:color="auto"/>
          <w:color w:val="auto"/>
        </w:rPr>
        <w:t>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7"/>
          <w:szCs w:val="17"/>
          <w:b w:val="1"/>
          <w:bCs w:val="1"/>
          <w:u w:val="single" w:color="auto"/>
          <w:color w:val="auto"/>
        </w:rPr>
        <w:t>P</w:t>
      </w:r>
      <w:r>
        <w:rPr>
          <w:rFonts w:ascii="Times New Roman" w:cs="Times New Roman" w:eastAsia="Times New Roman" w:hAnsi="Times New Roman"/>
          <w:sz w:val="14"/>
          <w:szCs w:val="14"/>
          <w:b w:val="1"/>
          <w:bCs w:val="1"/>
          <w:u w:val="single" w:color="auto"/>
          <w:color w:val="auto"/>
        </w:rPr>
        <w:t>ARTIES</w:t>
      </w:r>
      <w:r>
        <w:rPr>
          <w:rFonts w:ascii="Times New Roman" w:cs="Times New Roman" w:eastAsia="Times New Roman" w:hAnsi="Times New Roman"/>
          <w:sz w:val="17"/>
          <w:szCs w:val="17"/>
          <w:b w:val="1"/>
          <w:bCs w:val="1"/>
          <w:color w:val="auto"/>
        </w:rPr>
        <w:t>.</w:t>
      </w:r>
    </w:p>
    <w:p>
      <w:pPr>
        <w:spacing w:after="0" w:line="184"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The Guarantor hereby irrevocably and unconditionally submits, for itself and its property, to the nonexclusive jurisdiction of the Supreme Court of the State of New York sitting in New York County and of the United States District Court of the Southern District of New York, and any appellate court from any thereof, in any action or proceeding arising out of or relating to this Guaranty Agreement, or for recognition or enforcement of any judgment, and the Guarantor hereby irrevocably and unconditionally agrees that all claims in respect of any such action or proceeding may be heard and determined in such New York State or, to the extent permitted by law, in such Federal court. The Guarantor agrees that a final judgment in any such action or proceeding shall be conclusive and may be enforced in other jurisdictions by suit on the judgment or in any other manner provided by law. Nothing in this Guaranty Agreement shall affect any right that the Administrative Agent may otherwise have to bring any action or proceeding relating to this Guaranty Agreement against the Guarantor or its properties in the courts of any jurisdiction. The Guarantor hereby irrevocably and unconditionally waives, to the fullest extent it may legally and effectively do so, any objection which it may now or hereafter have to the laying of venue of any suit, action or proceeding arising out of or relating to this Guaranty Agreement in any court referred to above. The Guarantor hereby irrevocably waives, to the fullest extent permitted by law, the defense of an inconvenient forum to the maintenance of such action or proceeding in any such court. The Guarantor irrevocably consents to service of process in the manner provided for notices in Section 5.2 above. Nothing in this Guaranty Agreement will affect the right of Administrative Agent or any Lender to serve process in any other manner permitted by law.</w:t>
      </w:r>
    </w:p>
    <w:p>
      <w:pPr>
        <w:spacing w:after="0" w:line="197" w:lineRule="exact"/>
        <w:rPr>
          <w:sz w:val="20"/>
          <w:szCs w:val="20"/>
          <w:color w:val="auto"/>
        </w:rPr>
      </w:pPr>
    </w:p>
    <w:p>
      <w:pPr>
        <w:ind w:left="4" w:right="100" w:firstLine="440"/>
        <w:spacing w:after="0" w:line="268" w:lineRule="auto"/>
        <w:rPr>
          <w:sz w:val="20"/>
          <w:szCs w:val="20"/>
          <w:color w:val="auto"/>
        </w:rPr>
      </w:pPr>
      <w:r>
        <w:rPr>
          <w:rFonts w:ascii="Times New Roman" w:cs="Times New Roman" w:eastAsia="Times New Roman" w:hAnsi="Times New Roman"/>
          <w:sz w:val="17"/>
          <w:szCs w:val="17"/>
          <w:color w:val="auto"/>
        </w:rPr>
        <w:t xml:space="preserve">SECTION 5.8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THE GUARANTOR HEREBY WAIVES, TO THE FULLEST EXTENT PERMITTED BY APPLICABLE LAW, ANY RIGHT IT MAY HAVE TO A TRIAL BY JURY IN ANY LEGAL PROCEEDING DIRECTLY OR INDIRECTLY ARISING OUT OF OR RELATING TO THIS GUARANTY AGREEMENT OR THE TRANSACTIONS CONTEMPLATED HEREBY (WHETHER BASED ON CONTRACT, TORT OR ANY OTHER THEORY). THE GUARANTOR (A) CERTIFIES THAT NO REPRESENTATIVE, AGENT OR ATTORNEY OF ADMINISTRATIVE AGENT, ANY LENDER OR ANY OTHER PARTY HAS REPRESENTED, EXPRESSLY OR OTHERWISE, THAT SUCH OTHER PARTY WOULD NOT, IN THE EVENT OF LITIGATION, SEEK TO ENFORCE THE FOREGOING WAIVER AND</w:t>
      </w:r>
    </w:p>
    <w:p>
      <w:pPr>
        <w:spacing w:after="0" w:line="5" w:lineRule="exact"/>
        <w:rPr>
          <w:sz w:val="20"/>
          <w:szCs w:val="20"/>
          <w:color w:val="auto"/>
        </w:rPr>
      </w:pPr>
    </w:p>
    <w:p>
      <w:pPr>
        <w:ind w:left="4" w:right="260" w:hanging="4"/>
        <w:spacing w:after="0" w:line="255" w:lineRule="auto"/>
        <w:tabs>
          <w:tab w:leader="none" w:pos="27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THAT IT AND ADMINISTRATIVE AGENT, BY ITS ACCEPTANCE HEREOF, HAVE BEEN INDUCED TO ENTER INTO OR ACCEPT THIS GUARANTY AGREEMENT BY, AMONG OTHER THINGS, THE MUTUAL WAIVERS AND CERTIFICATIONS IN THIS SECTION.</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66"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WITNESS THE EXECUTION HEREOF, as of the date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ENTERPRISE PRODUCTS PARTNERS L.P.,</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Enterprise Products Holdings LLC,</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Christian M. 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Christian M. “Chris” Nelly</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Executive Vice President – Finance and Sustainability</w:t>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and Treasurer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1100 Louisiana Street, 10th Floor</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139" w:lineRule="exact"/>
        <w:rPr>
          <w:sz w:val="20"/>
          <w:szCs w:val="20"/>
          <w:color w:val="auto"/>
        </w:rPr>
      </w:pPr>
    </w:p>
    <w:p>
      <w:pPr>
        <w:jc w:val="right"/>
        <w:spacing w:after="0"/>
        <w:tabs>
          <w:tab w:leader="none" w:pos="1720" w:val="left"/>
        </w:tabs>
        <w:rPr>
          <w:sz w:val="20"/>
          <w:szCs w:val="20"/>
          <w:color w:val="auto"/>
        </w:rPr>
      </w:pPr>
      <w:r>
        <w:rPr>
          <w:rFonts w:ascii="Times New Roman" w:cs="Times New Roman" w:eastAsia="Times New Roman" w:hAnsi="Times New Roman"/>
          <w:sz w:val="18"/>
          <w:szCs w:val="18"/>
          <w:color w:val="auto"/>
        </w:rPr>
        <w:t>S-1</w:t>
      </w:r>
      <w:r>
        <w:rPr>
          <w:sz w:val="20"/>
          <w:szCs w:val="20"/>
          <w:color w:val="auto"/>
        </w:rPr>
        <w:tab/>
      </w:r>
      <w:r>
        <w:rPr>
          <w:rFonts w:ascii="Times New Roman" w:cs="Times New Roman" w:eastAsia="Times New Roman" w:hAnsi="Times New Roman"/>
          <w:sz w:val="18"/>
          <w:szCs w:val="18"/>
          <w:color w:val="auto"/>
        </w:rPr>
        <w:t>EPD 364-Day Guaranty</w:t>
      </w:r>
    </w:p>
    <w:sectPr>
      <w:pgSz w:w="11900" w:h="16838" w:orient="portrait"/>
      <w:cols w:equalWidth="0" w:num="1">
        <w:col w:w="10580"/>
      </w:cols>
      <w:pgMar w:left="88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abstractNum>
  <w:abstractNum w:abstractNumId="1">
    <w:nsid w:val="3F6AB60F"/>
    <w:multiLevelType w:val="hybridMultilevel"/>
    <w:lvl w:ilvl="0">
      <w:lvlJc w:val="left"/>
      <w:lvlText w:val="(%1)"/>
      <w:numFmt w:val="lowerLetter"/>
      <w:start w:val="4"/>
    </w:lvl>
  </w:abstractNum>
  <w:abstractNum w:abstractNumId="2">
    <w:nsid w:val="61574095"/>
    <w:multiLevelType w:val="hybridMultilevel"/>
    <w:lvl w:ilvl="0">
      <w:lvlJc w:val="left"/>
      <w:lvlText w:val="%1"/>
      <w:numFmt w:val="decimal"/>
      <w:start w:val="104"/>
    </w:lvl>
  </w:abstractNum>
  <w:abstractNum w:abstractNumId="3">
    <w:nsid w:val="7E0C57B1"/>
    <w:multiLevelType w:val="hybridMultilevel"/>
    <w:lvl w:ilvl="0">
      <w:lvlJc w:val="left"/>
      <w:lvlText w:val="(%1)"/>
      <w:numFmt w:val="lowerRoman"/>
      <w:start w:val="1"/>
    </w:lvl>
  </w:abstractNum>
  <w:abstractNum w:abstractNumId="4">
    <w:nsid w:val="77AE35EB"/>
    <w:multiLevelType w:val="hybridMultilevel"/>
    <w:lvl w:ilvl="0">
      <w:lvlJc w:val="left"/>
      <w:lvlText w:val="(%1)"/>
      <w:numFmt w:val="lowerLetter"/>
      <w:start w:val="1"/>
    </w:lvl>
  </w:abstractNum>
  <w:abstractNum w:abstractNumId="5">
    <w:nsid w:val="579BE4F1"/>
    <w:multiLevelType w:val="hybridMultilevel"/>
    <w:lvl w:ilvl="0">
      <w:lvlJc w:val="left"/>
      <w:lvlText w:val="(%1)"/>
      <w:numFmt w:val="lowerLetter"/>
      <w:start w:val="1"/>
    </w:lvl>
  </w:abstractNum>
  <w:abstractNum w:abstractNumId="6">
    <w:nsid w:val="310C50B3"/>
    <w:multiLevelType w:val="hybridMultilevel"/>
    <w:lvl w:ilvl="0">
      <w:lvlJc w:val="left"/>
      <w:lvlText w:val="(%1)"/>
      <w:numFmt w:val="lowerLetter"/>
      <w:start w:val="25"/>
    </w:lvl>
  </w:abstractNum>
  <w:abstractNum w:abstractNumId="7">
    <w:nsid w:val="5FF87E05"/>
    <w:multiLevelType w:val="hybridMultilevel"/>
    <w:lvl w:ilvl="0">
      <w:lvlJc w:val="left"/>
      <w:lvlText w:val="(%1)"/>
      <w:numFmt w:val="lowerLetter"/>
      <w:start w:val="4"/>
    </w:lvl>
  </w:abstractNum>
  <w:abstractNum w:abstractNumId="8">
    <w:nsid w:val="2F305DEF"/>
    <w:multiLevelType w:val="hybridMultilevel"/>
    <w:lvl w:ilvl="0">
      <w:lvlJc w:val="left"/>
      <w:lvlText w:val="(%1)"/>
      <w:numFmt w:val="lowerLetter"/>
      <w:start w:val="9"/>
    </w:lvl>
  </w:abstractNum>
  <w:abstractNum w:abstractNumId="9">
    <w:nsid w:val="25A70BF7"/>
    <w:multiLevelType w:val="hybridMultilevel"/>
    <w:lvl w:ilvl="0">
      <w:lvlJc w:val="left"/>
      <w:lvlText w:val="(%1)"/>
      <w:numFmt w:val="lowerRoman"/>
      <w:start w:val="3"/>
    </w:lvl>
  </w:abstractNum>
  <w:abstractNum w:abstractNumId="10">
    <w:nsid w:val="1DBABF00"/>
    <w:multiLevelType w:val="hybridMultilevel"/>
    <w:lvl w:ilvl="0">
      <w:lvlJc w:val="left"/>
      <w:lvlText w:val="(%1)"/>
      <w:numFmt w:val="upperLetter"/>
      <w:start w:val="1"/>
    </w:lvl>
  </w:abstractNum>
  <w:abstractNum w:abstractNumId="11">
    <w:nsid w:val="4AD084E9"/>
    <w:multiLevelType w:val="hybridMultilevel"/>
    <w:lvl w:ilvl="0">
      <w:lvlJc w:val="left"/>
      <w:lvlText w:val="(%1)"/>
      <w:numFmt w:val="upperLetter"/>
      <w:start w:val="2"/>
    </w:lvl>
  </w:abstractNum>
  <w:abstractNum w:abstractNumId="12">
    <w:nsid w:val="1F48EAA1"/>
    <w:multiLevelType w:val="hybridMultilevel"/>
    <w:lvl w:ilvl="0">
      <w:lvlJc w:val="left"/>
      <w:lvlText w:val="(%1)"/>
      <w:numFmt w:val="lowerLetter"/>
      <w:start w:val="9"/>
    </w:lvl>
    <w:lvl w:ilvl="1">
      <w:lvlJc w:val="left"/>
      <w:lvlText w:val="(%2)"/>
      <w:numFmt w:val="lowerLetter"/>
      <w:start w:val="1"/>
    </w:lvl>
  </w:abstractNum>
  <w:abstractNum w:abstractNumId="13">
    <w:nsid w:val="1381823A"/>
    <w:multiLevelType w:val="hybridMultilevel"/>
    <w:lvl w:ilvl="0">
      <w:lvlJc w:val="left"/>
      <w:lvlText w:val="(%1)"/>
      <w:numFmt w:val="lowerRoman"/>
      <w:start w:val="2"/>
    </w:lvl>
  </w:abstractNum>
  <w:abstractNum w:abstractNumId="14">
    <w:nsid w:val="5DB70AE5"/>
    <w:multiLevelType w:val="hybridMultilevel"/>
    <w:lvl w:ilvl="0">
      <w:lvlJc w:val="left"/>
      <w:lvlText w:val="(%1)"/>
      <w:numFmt w:val="lowerLetter"/>
      <w:start w:val="1"/>
    </w:lvl>
  </w:abstractNum>
  <w:abstractNum w:abstractNumId="15">
    <w:nsid w:val="100F8FCA"/>
    <w:multiLevelType w:val="hybridMultilevel"/>
    <w:lvl w:ilvl="0">
      <w:lvlJc w:val="left"/>
      <w:lvlText w:val="(%1)"/>
      <w:numFmt w:val="lowerLetter"/>
      <w:start w:val="3"/>
    </w:lvl>
  </w:abstractNum>
  <w:abstractNum w:abstractNumId="16">
    <w:nsid w:val="6590700B"/>
    <w:multiLevelType w:val="hybridMultilevel"/>
    <w:lvl w:ilvl="0">
      <w:lvlJc w:val="left"/>
      <w:lvlText w:val="%1"/>
      <w:numFmt w:val="lowerLetter"/>
      <w:start w:val="1"/>
    </w:lvl>
    <w:lvl w:ilvl="1">
      <w:lvlJc w:val="left"/>
      <w:lvlText w:val="(%2)"/>
      <w:numFmt w:val="lowerLetter"/>
      <w:start w:val="11"/>
    </w:lvl>
  </w:abstractNum>
  <w:abstractNum w:abstractNumId="17">
    <w:nsid w:val="15014ACB"/>
    <w:multiLevelType w:val="hybridMultilevel"/>
    <w:lvl w:ilvl="0">
      <w:lvlJc w:val="left"/>
      <w:lvlText w:val="(%1)"/>
      <w:numFmt w:val="lowerLetter"/>
      <w:start w:val="35"/>
    </w:lvl>
    <w:lvl w:ilvl="1">
      <w:lvlJc w:val="left"/>
      <w:lvlText w:val="(%2)"/>
      <w:numFmt w:val="lowerLetter"/>
      <w:start w:val="12"/>
    </w:lvl>
  </w:abstractNum>
  <w:abstractNum w:abstractNumId="18">
    <w:nsid w:val="5F5E7FD0"/>
    <w:multiLevelType w:val="hybridMultilevel"/>
    <w:lvl w:ilvl="0">
      <w:lvlJc w:val="left"/>
      <w:lvlText w:val="(%1)"/>
      <w:numFmt w:val="lowerLetter"/>
      <w:start w:val="1"/>
    </w:lvl>
  </w:abstractNum>
  <w:abstractNum w:abstractNumId="19">
    <w:nsid w:val="98A3148"/>
    <w:multiLevelType w:val="hybridMultilevel"/>
    <w:lvl w:ilvl="0">
      <w:lvlJc w:val="left"/>
      <w:lvlText w:val="(%1)"/>
      <w:numFmt w:val="lowerLetter"/>
      <w:start w:val="1"/>
    </w:lvl>
  </w:abstractNum>
  <w:abstractNum w:abstractNumId="20">
    <w:nsid w:val="799D0247"/>
    <w:multiLevelType w:val="hybridMultilevel"/>
    <w:lvl w:ilvl="0">
      <w:lvlJc w:val="left"/>
      <w:lvlText w:val="(%1)"/>
      <w:numFmt w:val="lowerRoman"/>
      <w:start w:val="1"/>
    </w:lvl>
  </w:abstractNum>
  <w:abstractNum w:abstractNumId="21">
    <w:nsid w:val="6B94764"/>
    <w:multiLevelType w:val="hybridMultilevel"/>
    <w:lvl w:ilvl="0">
      <w:lvlJc w:val="left"/>
      <w:lvlText w:val="(%1)"/>
      <w:numFmt w:val="upperLetter"/>
      <w:start w:val="2"/>
    </w:lvl>
  </w:abstractNum>
  <w:abstractNum w:abstractNumId="22">
    <w:nsid w:val="42C296BD"/>
    <w:multiLevelType w:val="hybridMultilevel"/>
    <w:lvl w:ilvl="0">
      <w:lvlJc w:val="left"/>
      <w:lvlText w:val="(%1)"/>
      <w:numFmt w:val="lowerLetter"/>
      <w:start w:val="1"/>
    </w:lvl>
  </w:abstractNum>
  <w:abstractNum w:abstractNumId="23">
    <w:nsid w:val="168E121F"/>
    <w:multiLevelType w:val="hybridMultilevel"/>
    <w:lvl w:ilvl="0">
      <w:lvlJc w:val="left"/>
      <w:lvlText w:val="(%1)"/>
      <w:numFmt w:val="lowerLetter"/>
      <w:start w:val="2"/>
    </w:lvl>
  </w:abstractNum>
  <w:abstractNum w:abstractNumId="24">
    <w:nsid w:val="1EBA5D23"/>
    <w:multiLevelType w:val="hybridMultilevel"/>
    <w:lvl w:ilvl="0">
      <w:lvlJc w:val="left"/>
      <w:lvlText w:val="(%1)"/>
      <w:numFmt w:val="lowerRoman"/>
      <w:start w:val="1"/>
    </w:lvl>
  </w:abstractNum>
  <w:abstractNum w:abstractNumId="25">
    <w:nsid w:val="661E3F1E"/>
    <w:multiLevelType w:val="hybridMultilevel"/>
    <w:lvl w:ilvl="0">
      <w:lvlJc w:val="left"/>
      <w:lvlText w:val="(%1)"/>
      <w:numFmt w:val="lowerLetter"/>
      <w:start w:val="2"/>
    </w:lvl>
  </w:abstractNum>
  <w:abstractNum w:abstractNumId="26">
    <w:nsid w:val="5DC79EA8"/>
    <w:multiLevelType w:val="hybridMultilevel"/>
    <w:lvl w:ilvl="0">
      <w:lvlJc w:val="left"/>
      <w:lvlText w:val="(%1)"/>
      <w:numFmt w:val="lowerLetter"/>
      <w:start w:val="2"/>
    </w:lvl>
  </w:abstractNum>
  <w:abstractNum w:abstractNumId="27">
    <w:nsid w:val="540A471C"/>
    <w:multiLevelType w:val="hybridMultilevel"/>
    <w:lvl w:ilvl="0">
      <w:lvlJc w:val="left"/>
      <w:lvlText w:val="(%1)"/>
      <w:numFmt w:val="lowerLetter"/>
      <w:start w:val="3"/>
    </w:lvl>
  </w:abstractNum>
  <w:abstractNum w:abstractNumId="28">
    <w:nsid w:val="7BD3EE7B"/>
    <w:multiLevelType w:val="hybridMultilevel"/>
    <w:lvl w:ilvl="0">
      <w:lvlJc w:val="left"/>
      <w:lvlText w:val="(%1)"/>
      <w:numFmt w:val="lowerLetter"/>
      <w:start w:val="2"/>
    </w:lvl>
    <w:lvl w:ilvl="1">
      <w:lvlJc w:val="left"/>
      <w:lvlText w:val="(%2)"/>
      <w:numFmt w:val="lowerRoman"/>
      <w:start w:val="1"/>
    </w:lvl>
  </w:abstractNum>
  <w:abstractNum w:abstractNumId="29">
    <w:nsid w:val="51D9C564"/>
    <w:multiLevelType w:val="hybridMultilevel"/>
    <w:lvl w:ilvl="0">
      <w:lvlJc w:val="left"/>
      <w:lvlText w:val="(%1)"/>
      <w:numFmt w:val="lowerLetter"/>
      <w:start w:val="2"/>
    </w:lvl>
  </w:abstractNum>
  <w:abstractNum w:abstractNumId="30">
    <w:nsid w:val="613EFDC5"/>
    <w:multiLevelType w:val="hybridMultilevel"/>
    <w:lvl w:ilvl="0">
      <w:lvlJc w:val="left"/>
      <w:lvlText w:val="(%1)"/>
      <w:numFmt w:val="lowerLetter"/>
      <w:start w:val="2"/>
    </w:lvl>
  </w:abstractNum>
  <w:abstractNum w:abstractNumId="31">
    <w:nsid w:val="BF72B14"/>
    <w:multiLevelType w:val="hybridMultilevel"/>
    <w:lvl w:ilvl="0">
      <w:lvlJc w:val="left"/>
      <w:lvlText w:val="%1"/>
      <w:numFmt w:val="lowerRoman"/>
      <w:start w:val="1"/>
    </w:lvl>
    <w:lvl w:ilvl="1">
      <w:lvlJc w:val="left"/>
      <w:lvlText w:val="(%2)"/>
      <w:numFmt w:val="lowerRoman"/>
      <w:start w:val="1"/>
    </w:lvl>
  </w:abstractNum>
  <w:abstractNum w:abstractNumId="32">
    <w:nsid w:val="11447B73"/>
    <w:multiLevelType w:val="hybridMultilevel"/>
    <w:lvl w:ilvl="0">
      <w:lvlJc w:val="left"/>
      <w:lvlText w:val="(%1)"/>
      <w:numFmt w:val="lowerRoman"/>
      <w:start w:val="4"/>
    </w:lvl>
    <w:lvl w:ilvl="1">
      <w:lvlJc w:val="left"/>
      <w:lvlText w:val="(%2)"/>
      <w:numFmt w:val="lowerRoman"/>
      <w:start w:val="2"/>
    </w:lvl>
  </w:abstractNum>
  <w:abstractNum w:abstractNumId="33">
    <w:nsid w:val="42963E5A"/>
    <w:multiLevelType w:val="hybridMultilevel"/>
    <w:lvl w:ilvl="0">
      <w:lvlJc w:val="left"/>
      <w:lvlText w:val="(%1)"/>
      <w:numFmt w:val="lowerLetter"/>
      <w:start w:val="4"/>
    </w:lvl>
  </w:abstractNum>
  <w:abstractNum w:abstractNumId="34">
    <w:nsid w:val="A0382C5"/>
    <w:multiLevelType w:val="hybridMultilevel"/>
    <w:lvl w:ilvl="0">
      <w:lvlJc w:val="left"/>
      <w:lvlText w:val="(%1)"/>
      <w:numFmt w:val="lowerLetter"/>
      <w:start w:val="9"/>
    </w:lvl>
    <w:lvl w:ilvl="1">
      <w:lvlJc w:val="left"/>
      <w:lvlText w:val="(%2)"/>
      <w:numFmt w:val="lowerLetter"/>
      <w:start w:val="2"/>
    </w:lvl>
  </w:abstractNum>
  <w:abstractNum w:abstractNumId="35">
    <w:nsid w:val="8F2B15E"/>
    <w:multiLevelType w:val="hybridMultilevel"/>
    <w:lvl w:ilvl="0">
      <w:lvlJc w:val="left"/>
      <w:lvlText w:val="(%1)"/>
      <w:numFmt w:val="lowerLetter"/>
      <w:start w:val="2"/>
    </w:lvl>
  </w:abstractNum>
  <w:abstractNum w:abstractNumId="36">
    <w:nsid w:val="1A32234B"/>
    <w:multiLevelType w:val="hybridMultilevel"/>
    <w:lvl w:ilvl="0">
      <w:lvlJc w:val="left"/>
      <w:lvlText w:val="(%1)"/>
      <w:numFmt w:val="lowerLetter"/>
      <w:start w:val="2"/>
    </w:lvl>
  </w:abstractNum>
  <w:abstractNum w:abstractNumId="37">
    <w:nsid w:val="3B0FD379"/>
    <w:multiLevelType w:val="hybridMultilevel"/>
    <w:lvl w:ilvl="0">
      <w:lvlJc w:val="left"/>
      <w:lvlText w:val="(%1)"/>
      <w:numFmt w:val="lowerLetter"/>
      <w:start w:val="2"/>
    </w:lvl>
  </w:abstractNum>
  <w:abstractNum w:abstractNumId="38">
    <w:nsid w:val="68EB2F63"/>
    <w:multiLevelType w:val="hybridMultilevel"/>
    <w:lvl w:ilvl="0">
      <w:lvlJc w:val="left"/>
      <w:lvlText w:val="(%1)"/>
      <w:numFmt w:val="lowerLetter"/>
      <w:start w:val="1"/>
    </w:lvl>
  </w:abstractNum>
  <w:abstractNum w:abstractNumId="39">
    <w:nsid w:val="4962813B"/>
    <w:multiLevelType w:val="hybridMultilevel"/>
    <w:lvl w:ilvl="0">
      <w:lvlJc w:val="left"/>
      <w:lvlText w:val="(%1)"/>
      <w:numFmt w:val="upperLetter"/>
      <w:start w:val="1"/>
    </w:lvl>
  </w:abstractNum>
  <w:abstractNum w:abstractNumId="40">
    <w:nsid w:val="60B6DF70"/>
    <w:multiLevelType w:val="hybridMultilevel"/>
    <w:lvl w:ilvl="0">
      <w:lvlJc w:val="left"/>
      <w:lvlText w:val="(%1)"/>
      <w:numFmt w:val="lowerRoman"/>
      <w:start w:val="4"/>
    </w:lvl>
  </w:abstractNum>
  <w:abstractNum w:abstractNumId="41">
    <w:nsid w:val="6A5EE64"/>
    <w:multiLevelType w:val="hybridMultilevel"/>
    <w:lvl w:ilvl="0">
      <w:lvlJc w:val="left"/>
      <w:lvlText w:val="(%1)"/>
      <w:numFmt w:val="lowerLetter"/>
      <w:start w:val="2"/>
    </w:lvl>
    <w:lvl w:ilvl="1">
      <w:lvlJc w:val="left"/>
      <w:lvlText w:val="(%2)"/>
      <w:numFmt w:val="lowerRoman"/>
      <w:start w:val="1"/>
    </w:lvl>
  </w:abstractNum>
  <w:abstractNum w:abstractNumId="42">
    <w:nsid w:val="14330624"/>
    <w:multiLevelType w:val="hybridMultilevel"/>
    <w:lvl w:ilvl="0">
      <w:lvlJc w:val="left"/>
      <w:lvlText w:val="(%1)"/>
      <w:numFmt w:val="lowerLetter"/>
      <w:start w:val="3"/>
    </w:lvl>
  </w:abstractNum>
  <w:abstractNum w:abstractNumId="43">
    <w:nsid w:val="7FFFCA11"/>
    <w:multiLevelType w:val="hybridMultilevel"/>
    <w:lvl w:ilvl="0">
      <w:lvlJc w:val="left"/>
      <w:lvlText w:val="(%1)"/>
      <w:numFmt w:val="lowerLetter"/>
      <w:start w:val="2"/>
    </w:lvl>
    <w:lvl w:ilvl="1">
      <w:lvlJc w:val="left"/>
      <w:lvlText w:val="(%2)"/>
      <w:numFmt w:val="lowerLetter"/>
      <w:start w:val="9"/>
    </w:lvl>
  </w:abstractNum>
  <w:abstractNum w:abstractNumId="44">
    <w:nsid w:val="1A27709E"/>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45">
    <w:nsid w:val="71EA1109"/>
    <w:multiLevelType w:val="hybridMultilevel"/>
    <w:lvl w:ilvl="0">
      <w:lvlJc w:val="left"/>
      <w:lvlText w:val="(%1)"/>
      <w:numFmt w:val="decimal"/>
      <w:start w:val="30"/>
    </w:lvl>
    <w:lvl w:ilvl="1">
      <w:lvlJc w:val="left"/>
      <w:lvlText w:val="%2"/>
      <w:numFmt w:val="lowerRoman"/>
      <w:start w:val="1"/>
    </w:lvl>
    <w:lvl w:ilvl="2">
      <w:lvlJc w:val="left"/>
      <w:lvlText w:val="(%3)"/>
      <w:numFmt w:val="upperLetter"/>
      <w:start w:val="1"/>
    </w:lvl>
  </w:abstractNum>
  <w:abstractNum w:abstractNumId="46">
    <w:nsid w:val="100F59DC"/>
    <w:multiLevelType w:val="hybridMultilevel"/>
    <w:lvl w:ilvl="0">
      <w:lvlJc w:val="left"/>
      <w:lvlText w:val="(%1)"/>
      <w:numFmt w:val="decimal"/>
      <w:start w:val="1"/>
    </w:lvl>
  </w:abstractNum>
  <w:abstractNum w:abstractNumId="47">
    <w:nsid w:val="7FB7E0AA"/>
    <w:multiLevelType w:val="hybridMultilevel"/>
    <w:lvl w:ilvl="0">
      <w:lvlJc w:val="left"/>
      <w:lvlText w:val="(%1)"/>
      <w:numFmt w:val="lowerRoman"/>
      <w:start w:val="3"/>
    </w:lvl>
  </w:abstractNum>
  <w:abstractNum w:abstractNumId="48">
    <w:nsid w:val="6EB5BD4"/>
    <w:multiLevelType w:val="hybridMultilevel"/>
    <w:lvl w:ilvl="0">
      <w:lvlJc w:val="left"/>
      <w:lvlText w:val="(%1)"/>
      <w:numFmt w:val="lowerLetter"/>
      <w:start w:val="6"/>
    </w:lvl>
  </w:abstractNum>
  <w:abstractNum w:abstractNumId="49">
    <w:nsid w:val="6F6DD9AC"/>
    <w:multiLevelType w:val="hybridMultilevel"/>
    <w:lvl w:ilvl="0">
      <w:lvlJc w:val="left"/>
      <w:lvlText w:val="(%1)"/>
      <w:numFmt w:val="lowerLetter"/>
      <w:start w:val="8"/>
    </w:lvl>
  </w:abstractNum>
  <w:abstractNum w:abstractNumId="50">
    <w:nsid w:val="94211F2"/>
    <w:multiLevelType w:val="hybridMultilevel"/>
    <w:lvl w:ilvl="0">
      <w:lvlJc w:val="left"/>
      <w:lvlText w:val="(%1)"/>
      <w:numFmt w:val="lowerLetter"/>
      <w:start w:val="2"/>
    </w:lvl>
  </w:abstractNum>
  <w:abstractNum w:abstractNumId="51">
    <w:nsid w:val="885E1B"/>
    <w:multiLevelType w:val="hybridMultilevel"/>
    <w:lvl w:ilvl="0">
      <w:lvlJc w:val="left"/>
      <w:lvlText w:val="(%1)"/>
      <w:numFmt w:val="lowerLetter"/>
      <w:start w:val="3"/>
    </w:lvl>
  </w:abstractNum>
  <w:abstractNum w:abstractNumId="52">
    <w:nsid w:val="76272110"/>
    <w:multiLevelType w:val="hybridMultilevel"/>
    <w:lvl w:ilvl="0">
      <w:lvlJc w:val="left"/>
      <w:lvlText w:val="(%1)"/>
      <w:numFmt w:val="lowerRoman"/>
      <w:start w:val="1"/>
    </w:lvl>
  </w:abstractNum>
  <w:abstractNum w:abstractNumId="53">
    <w:nsid w:val="4C04A8AF"/>
    <w:multiLevelType w:val="hybridMultilevel"/>
    <w:lvl w:ilvl="0">
      <w:lvlJc w:val="left"/>
      <w:lvlText w:val="(%1)"/>
      <w:numFmt w:val="lowerLetter"/>
      <w:start w:val="2"/>
    </w:lvl>
  </w:abstractNum>
  <w:abstractNum w:abstractNumId="54">
    <w:nsid w:val="1716703B"/>
    <w:multiLevelType w:val="hybridMultilevel"/>
    <w:lvl w:ilvl="0">
      <w:lvlJc w:val="left"/>
      <w:lvlText w:val="(%1)"/>
      <w:numFmt w:val="lowerLetter"/>
      <w:start w:val="1"/>
    </w:lvl>
    <w:lvl w:ilvl="1">
      <w:lvlJc w:val="left"/>
      <w:lvlText w:val="(%2)"/>
      <w:numFmt w:val="lowerRoman"/>
      <w:start w:val="1"/>
    </w:lvl>
  </w:abstractNum>
  <w:abstractNum w:abstractNumId="55">
    <w:nsid w:val="14E17E33"/>
    <w:multiLevelType w:val="hybridMultilevel"/>
    <w:lvl w:ilvl="0">
      <w:lvlJc w:val="left"/>
      <w:lvlText w:val="(%1)"/>
      <w:numFmt w:val="lowerLetter"/>
      <w:start w:val="2"/>
    </w:lvl>
  </w:abstractNum>
  <w:abstractNum w:abstractNumId="56">
    <w:nsid w:val="3222E7CD"/>
    <w:multiLevelType w:val="hybridMultilevel"/>
    <w:lvl w:ilvl="0">
      <w:lvlJc w:val="left"/>
      <w:lvlText w:val="(%1)"/>
      <w:numFmt w:val="lowerLetter"/>
      <w:start w:val="2"/>
    </w:lvl>
  </w:abstractNum>
  <w:abstractNum w:abstractNumId="57">
    <w:nsid w:val="74DE0EE3"/>
    <w:multiLevelType w:val="hybridMultilevel"/>
    <w:lvl w:ilvl="0">
      <w:lvlJc w:val="left"/>
      <w:lvlText w:val="(%1)"/>
      <w:numFmt w:val="lowerRoman"/>
      <w:start w:val="2"/>
    </w:lvl>
  </w:abstractNum>
  <w:abstractNum w:abstractNumId="58">
    <w:nsid w:val="68EBC550"/>
    <w:multiLevelType w:val="hybridMultilevel"/>
    <w:lvl w:ilvl="0">
      <w:lvlJc w:val="left"/>
      <w:lvlText w:val="(%1)"/>
      <w:numFmt w:val="lowerLetter"/>
      <w:start w:val="1"/>
    </w:lvl>
  </w:abstractNum>
  <w:abstractNum w:abstractNumId="59">
    <w:nsid w:val="2DF6D648"/>
    <w:multiLevelType w:val="hybridMultilevel"/>
    <w:lvl w:ilvl="0">
      <w:lvlJc w:val="left"/>
      <w:lvlText w:val="(%1)"/>
      <w:numFmt w:val="lowerLetter"/>
      <w:start w:val="7"/>
    </w:lvl>
  </w:abstractNum>
  <w:abstractNum w:abstractNumId="60">
    <w:nsid w:val="46B7D447"/>
    <w:multiLevelType w:val="hybridMultilevel"/>
    <w:lvl w:ilvl="0">
      <w:lvlJc w:val="left"/>
      <w:lvlText w:val="(%1)"/>
      <w:numFmt w:val="lowerLetter"/>
      <w:start w:val="1"/>
    </w:lvl>
  </w:abstractNum>
  <w:abstractNum w:abstractNumId="61">
    <w:nsid w:val="4A2AC315"/>
    <w:multiLevelType w:val="hybridMultilevel"/>
    <w:lvl w:ilvl="0">
      <w:lvlJc w:val="left"/>
      <w:lvlText w:val="%1"/>
      <w:numFmt w:val="lowerLetter"/>
      <w:start w:val="1"/>
    </w:lvl>
    <w:lvl w:ilvl="1">
      <w:lvlJc w:val="left"/>
      <w:lvlText w:val="(%2)"/>
      <w:numFmt w:val="lowerLetter"/>
      <w:start w:val="1"/>
    </w:lvl>
  </w:abstractNum>
  <w:abstractNum w:abstractNumId="62">
    <w:nsid w:val="39EE015C"/>
    <w:multiLevelType w:val="hybridMultilevel"/>
    <w:lvl w:ilvl="0">
      <w:lvlJc w:val="left"/>
      <w:lvlText w:val="(%1)"/>
      <w:numFmt w:val="lowerLetter"/>
      <w:start w:val="9"/>
    </w:lvl>
    <w:lvl w:ilvl="1">
      <w:lvlJc w:val="left"/>
      <w:lvlText w:val="(%2)"/>
      <w:numFmt w:val="lowerLetter"/>
      <w:start w:val="4"/>
    </w:lvl>
  </w:abstractNum>
  <w:abstractNum w:abstractNumId="63">
    <w:nsid w:val="57FC4FBB"/>
    <w:multiLevelType w:val="hybridMultilevel"/>
    <w:lvl w:ilvl="0">
      <w:lvlJc w:val="left"/>
      <w:lvlText w:val="(%1)"/>
      <w:numFmt w:val="lowerRoman"/>
      <w:start w:val="4"/>
    </w:lvl>
  </w:abstractNum>
  <w:abstractNum w:abstractNumId="64">
    <w:nsid w:val="CC1016F"/>
    <w:multiLevelType w:val="hybridMultilevel"/>
    <w:lvl w:ilvl="0">
      <w:lvlJc w:val="left"/>
      <w:lvlText w:val="(%1)"/>
      <w:numFmt w:val="lowerLetter"/>
      <w:start w:val="1"/>
    </w:lvl>
  </w:abstractNum>
  <w:abstractNum w:abstractNumId="65">
    <w:nsid w:val="43F18422"/>
    <w:multiLevelType w:val="hybridMultilevel"/>
    <w:lvl w:ilvl="0">
      <w:lvlJc w:val="left"/>
      <w:lvlText w:val="(%1)"/>
      <w:numFmt w:val="lowerLetter"/>
      <w:start w:val="1"/>
    </w:lvl>
  </w:abstractNum>
  <w:abstractNum w:abstractNumId="66">
    <w:nsid w:val="60EF0119"/>
    <w:multiLevelType w:val="hybridMultilevel"/>
    <w:lvl w:ilvl="0">
      <w:lvlJc w:val="left"/>
      <w:lvlText w:val="(%1)"/>
      <w:numFmt w:val="lowerRoman"/>
      <w:start w:val="6"/>
    </w:lvl>
  </w:abstractNum>
  <w:abstractNum w:abstractNumId="67">
    <w:nsid w:val="26F324BA"/>
    <w:multiLevelType w:val="hybridMultilevel"/>
    <w:lvl w:ilvl="0">
      <w:lvlJc w:val="left"/>
      <w:lvlText w:val="(%1)"/>
      <w:numFmt w:val="lowerLetter"/>
      <w:start w:val="1"/>
    </w:lvl>
  </w:abstractNum>
  <w:abstractNum w:abstractNumId="68">
    <w:nsid w:val="7F01579B"/>
    <w:multiLevelType w:val="hybridMultilevel"/>
    <w:lvl w:ilvl="0">
      <w:lvlJc w:val="left"/>
      <w:lvlText w:val="%1"/>
      <w:numFmt w:val="lowerLetter"/>
      <w:start w:val="1"/>
    </w:lvl>
    <w:lvl w:ilvl="1">
      <w:lvlJc w:val="left"/>
      <w:lvlText w:val="(%2)"/>
      <w:numFmt w:val="lowerLetter"/>
      <w:start w:val="4"/>
    </w:lvl>
  </w:abstractNum>
  <w:abstractNum w:abstractNumId="69">
    <w:nsid w:val="49DA307D"/>
    <w:multiLevelType w:val="hybridMultilevel"/>
    <w:lvl w:ilvl="0">
      <w:lvlJc w:val="left"/>
      <w:lvlText w:val="(%1)"/>
      <w:numFmt w:val="lowerLetter"/>
      <w:start w:val="8"/>
    </w:lvl>
    <w:lvl w:ilvl="1">
      <w:lvlJc w:val="left"/>
      <w:lvlText w:val="%2"/>
      <w:numFmt w:val="lowerLetter"/>
      <w:start w:val="1"/>
    </w:lvl>
  </w:abstractNum>
  <w:abstractNum w:abstractNumId="70">
    <w:nsid w:val="7055A5F5"/>
    <w:multiLevelType w:val="hybridMultilevel"/>
    <w:lvl w:ilvl="0">
      <w:lvlJc w:val="left"/>
      <w:lvlText w:val="(%1)"/>
      <w:numFmt w:val="lowerLetter"/>
      <w:start w:val="9"/>
    </w:lvl>
  </w:abstractNum>
  <w:abstractNum w:abstractNumId="71">
    <w:nsid w:val="5FB8370B"/>
    <w:multiLevelType w:val="hybridMultilevel"/>
    <w:lvl w:ilvl="0">
      <w:lvlJc w:val="left"/>
      <w:lvlText w:val="(%1)"/>
      <w:numFmt w:val="lowerLetter"/>
      <w:start w:val="1"/>
    </w:lvl>
  </w:abstractNum>
  <w:abstractNum w:abstractNumId="72">
    <w:nsid w:val="50801EE1"/>
    <w:multiLevelType w:val="hybridMultilevel"/>
    <w:lvl w:ilvl="0">
      <w:lvlJc w:val="left"/>
      <w:lvlText w:val="(%1)"/>
      <w:numFmt w:val="lowerRoman"/>
      <w:start w:val="1"/>
    </w:lvl>
  </w:abstractNum>
  <w:abstractNum w:abstractNumId="73">
    <w:nsid w:val="488AC1A"/>
    <w:multiLevelType w:val="hybridMultilevel"/>
    <w:lvl w:ilvl="0">
      <w:lvlJc w:val="left"/>
      <w:lvlText w:val="(%1)"/>
      <w:numFmt w:val="lowerLetter"/>
      <w:start w:val="3"/>
    </w:lvl>
  </w:abstractNum>
  <w:abstractNum w:abstractNumId="74">
    <w:nsid w:val="5FB8011C"/>
    <w:multiLevelType w:val="hybridMultilevel"/>
    <w:lvl w:ilvl="0">
      <w:lvlJc w:val="left"/>
      <w:lvlText w:val="%1"/>
      <w:numFmt w:val="lowerLetter"/>
      <w:start w:val="1"/>
    </w:lvl>
    <w:lvl w:ilvl="1">
      <w:lvlJc w:val="left"/>
      <w:lvlText w:val="(%2)"/>
      <w:numFmt w:val="lowerLetter"/>
      <w:start w:val="35"/>
    </w:lvl>
  </w:abstractNum>
  <w:abstractNum w:abstractNumId="75">
    <w:nsid w:val="6AA78F7F"/>
    <w:multiLevelType w:val="hybridMultilevel"/>
    <w:lvl w:ilvl="0">
      <w:lvlJc w:val="left"/>
      <w:lvlText w:val="(%1)"/>
      <w:numFmt w:val="lowerLetter"/>
      <w:start w:val="5"/>
    </w:lvl>
    <w:lvl w:ilvl="1">
      <w:lvlJc w:val="left"/>
      <w:lvlText w:val="%2"/>
      <w:numFmt w:val="lowerLetter"/>
      <w:start w:val="1"/>
    </w:lvl>
  </w:abstractNum>
  <w:abstractNum w:abstractNumId="76">
    <w:nsid w:val="7672BD23"/>
    <w:multiLevelType w:val="hybridMultilevel"/>
    <w:lvl w:ilvl="0">
      <w:lvlJc w:val="left"/>
      <w:lvlText w:val="(%1)"/>
      <w:numFmt w:val="lowerLetter"/>
      <w:start w:val="6"/>
    </w:lvl>
  </w:abstractNum>
  <w:abstractNum w:abstractNumId="77">
    <w:nsid w:val="6FC75AF8"/>
    <w:multiLevelType w:val="hybridMultilevel"/>
    <w:lvl w:ilvl="0">
      <w:lvlJc w:val="left"/>
      <w:lvlText w:val="(%1)"/>
      <w:numFmt w:val="lowerLetter"/>
      <w:start w:val="1"/>
    </w:lvl>
  </w:abstractNum>
  <w:abstractNum w:abstractNumId="78">
    <w:nsid w:val="6A5F7029"/>
    <w:multiLevelType w:val="hybridMultilevel"/>
    <w:lvl w:ilvl="0">
      <w:lvlJc w:val="left"/>
      <w:lvlText w:val="(%1)"/>
      <w:numFmt w:val="lowerLetter"/>
      <w:start w:val="5"/>
    </w:lvl>
  </w:abstractNum>
  <w:abstractNum w:abstractNumId="79">
    <w:nsid w:val="7D5E18F8"/>
    <w:multiLevelType w:val="hybridMultilevel"/>
    <w:lvl w:ilvl="0">
      <w:lvlJc w:val="left"/>
      <w:lvlText w:val="%1"/>
      <w:numFmt w:val="lowerLetter"/>
      <w:start w:val="1"/>
    </w:lvl>
    <w:lvl w:ilvl="1">
      <w:lvlJc w:val="left"/>
      <w:lvlText w:val="(%2)"/>
      <w:numFmt w:val="lowerLetter"/>
      <w:start w:val="1"/>
    </w:lvl>
  </w:abstractNum>
  <w:abstractNum w:abstractNumId="80">
    <w:nsid w:val="5F3534A4"/>
    <w:multiLevelType w:val="hybridMultilevel"/>
    <w:lvl w:ilvl="0">
      <w:lvlJc w:val="left"/>
      <w:lvlText w:val="(%1)"/>
      <w:numFmt w:val="lowerLetter"/>
      <w:start w:val="35"/>
    </w:lvl>
    <w:lvl w:ilvl="1">
      <w:lvlJc w:val="left"/>
      <w:lvlText w:val="%2"/>
      <w:numFmt w:val="lowerLetter"/>
      <w:start w:val="1"/>
    </w:lvl>
  </w:abstractNum>
  <w:abstractNum w:abstractNumId="81">
    <w:nsid w:val="73A1821B"/>
    <w:multiLevelType w:val="hybridMultilevel"/>
    <w:lvl w:ilvl="0">
      <w:lvlJc w:val="left"/>
      <w:lvlText w:val="(%1)"/>
      <w:numFmt w:val="lowerLetter"/>
      <w:start w:val="2"/>
    </w:lvl>
  </w:abstractNum>
  <w:abstractNum w:abstractNumId="82">
    <w:nsid w:val="7DE67713"/>
    <w:multiLevelType w:val="hybridMultilevel"/>
    <w:lvl w:ilvl="0">
      <w:lvlJc w:val="left"/>
      <w:lvlText w:val="(%1)"/>
      <w:numFmt w:val="lowerLetter"/>
      <w:start w:val="3"/>
    </w:lvl>
  </w:abstractNum>
  <w:abstractNum w:abstractNumId="83">
    <w:nsid w:val="555C55B5"/>
    <w:multiLevelType w:val="hybridMultilevel"/>
    <w:lvl w:ilvl="0">
      <w:lvlJc w:val="left"/>
      <w:lvlText w:val="(%1)"/>
      <w:numFmt w:val="lowerLetter"/>
      <w:start w:val="2"/>
    </w:lvl>
  </w:abstractNum>
  <w:abstractNum w:abstractNumId="84">
    <w:nsid w:val="3FA62ACA"/>
    <w:multiLevelType w:val="hybridMultilevel"/>
    <w:lvl w:ilvl="0">
      <w:lvlJc w:val="left"/>
      <w:lvlText w:val="%1"/>
      <w:numFmt w:val="lowerLetter"/>
      <w:start w:val="1"/>
    </w:lvl>
    <w:lvl w:ilvl="1">
      <w:lvlJc w:val="left"/>
      <w:lvlText w:val="(%2)"/>
      <w:numFmt w:val="lowerLetter"/>
      <w:start w:val="3"/>
    </w:lvl>
  </w:abstractNum>
  <w:abstractNum w:abstractNumId="85">
    <w:nsid w:val="14FCE74E"/>
    <w:multiLevelType w:val="hybridMultilevel"/>
    <w:lvl w:ilvl="0">
      <w:lvlJc w:val="left"/>
      <w:lvlText w:val="(%1)"/>
      <w:numFmt w:val="lowerLetter"/>
      <w:start w:val="35"/>
    </w:lvl>
    <w:lvl w:ilvl="1">
      <w:lvlJc w:val="left"/>
      <w:lvlText w:val="%2"/>
      <w:numFmt w:val="lowerLetter"/>
      <w:start w:val="1"/>
    </w:lvl>
  </w:abstractNum>
  <w:abstractNum w:abstractNumId="86">
    <w:nsid w:val="6A3DD3E8"/>
    <w:multiLevelType w:val="hybridMultilevel"/>
    <w:lvl w:ilvl="0">
      <w:lvlJc w:val="left"/>
      <w:lvlText w:val="(%1)"/>
      <w:numFmt w:val="lowerLetter"/>
      <w:start w:val="6"/>
    </w:lvl>
  </w:abstractNum>
  <w:abstractNum w:abstractNumId="87">
    <w:nsid w:val="71C91298"/>
    <w:multiLevelType w:val="hybridMultilevel"/>
    <w:lvl w:ilvl="0">
      <w:lvlJc w:val="left"/>
      <w:lvlText w:val="(%1)"/>
      <w:numFmt w:val="lowerLetter"/>
      <w:start w:val="1"/>
    </w:lvl>
  </w:abstractNum>
  <w:abstractNum w:abstractNumId="88">
    <w:nsid w:val="9DAF632"/>
    <w:multiLevelType w:val="hybridMultilevel"/>
    <w:lvl w:ilvl="0">
      <w:lvlJc w:val="left"/>
      <w:lvlText w:val="(%1)"/>
      <w:numFmt w:val="lowerLetter"/>
      <w:start w:val="2"/>
    </w:lvl>
  </w:abstractNum>
  <w:abstractNum w:abstractNumId="89">
    <w:nsid w:val="53299938"/>
    <w:multiLevelType w:val="hybridMultilevel"/>
    <w:lvl w:ilvl="0">
      <w:lvlJc w:val="left"/>
      <w:lvlText w:val="(%1)"/>
      <w:numFmt w:val="lowerRoman"/>
      <w:start w:val="4"/>
    </w:lvl>
  </w:abstractNum>
  <w:abstractNum w:abstractNumId="90">
    <w:nsid w:val="1FBFE8E0"/>
    <w:multiLevelType w:val="hybridMultilevel"/>
    <w:lvl w:ilvl="0">
      <w:lvlJc w:val="left"/>
      <w:lvlText w:val="(%1)"/>
      <w:numFmt w:val="upperLetter"/>
      <w:start w:val="2"/>
    </w:lvl>
  </w:abstractNum>
  <w:abstractNum w:abstractNumId="91">
    <w:nsid w:val="5092CA79"/>
    <w:multiLevelType w:val="hybridMultilevel"/>
    <w:lvl w:ilvl="0">
      <w:lvlJc w:val="left"/>
      <w:lvlText w:val="(%1)"/>
      <w:numFmt w:val="lowerLetter"/>
      <w:start w:val="1"/>
    </w:lvl>
    <w:lvl w:ilvl="1">
      <w:lvlJc w:val="left"/>
      <w:lvlText w:val="(%2)"/>
      <w:numFmt w:val="lowerRoman"/>
      <w:start w:val="1"/>
    </w:lvl>
  </w:abstractNum>
  <w:abstractNum w:abstractNumId="92">
    <w:nsid w:val="1D545C4D"/>
    <w:multiLevelType w:val="hybridMultilevel"/>
    <w:lvl w:ilvl="0">
      <w:lvlJc w:val="left"/>
      <w:lvlText w:val="(%1)"/>
      <w:numFmt w:val="lowerLetter"/>
      <w:start w:val="1"/>
    </w:lvl>
    <w:lvl w:ilvl="1">
      <w:lvlJc w:val="left"/>
      <w:lvlText w:val="(%2)"/>
      <w:numFmt w:val="lowerRoman"/>
      <w:start w:val="1"/>
    </w:lvl>
  </w:abstractNum>
  <w:abstractNum w:abstractNumId="93">
    <w:nsid w:val="59ADEA3D"/>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94">
    <w:nsid w:val="288F1A34"/>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95">
    <w:nsid w:val="2A155DBC"/>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abstractNum w:abstractNumId="96">
    <w:nsid w:val="1D9F6E5F"/>
    <w:multiLevelType w:val="hybridMultilevel"/>
    <w:lvl w:ilvl="0">
      <w:lvlJc w:val="left"/>
      <w:lvlText w:val="%1."/>
      <w:numFmt w:val="decimal"/>
      <w:start w:val="1"/>
    </w:lvl>
  </w:abstractNum>
  <w:abstractNum w:abstractNumId="97">
    <w:nsid w:val="97E1B4E"/>
    <w:multiLevelType w:val="hybridMultilevel"/>
    <w:lvl w:ilvl="0">
      <w:lvlJc w:val="left"/>
      <w:lvlText w:val="%1."/>
      <w:numFmt w:val="decimal"/>
      <w:start w:val="4"/>
    </w:lvl>
  </w:abstractNum>
  <w:abstractNum w:abstractNumId="98">
    <w:nsid w:val="51088277"/>
    <w:multiLevelType w:val="hybridMultilevel"/>
    <w:lvl w:ilvl="0">
      <w:lvlJc w:val="left"/>
      <w:lvlText w:val="1"/>
      <w:numFmt w:val="bullet"/>
      <w:start w:val="1"/>
    </w:lvl>
  </w:abstractNum>
  <w:abstractNum w:abstractNumId="99">
    <w:nsid w:val="1CA0C5FA"/>
    <w:multiLevelType w:val="hybridMultilevel"/>
    <w:lvl w:ilvl="0">
      <w:lvlJc w:val="left"/>
      <w:lvlText w:val="2"/>
      <w:numFmt w:val="bullet"/>
      <w:start w:val="1"/>
    </w:lvl>
  </w:abstractNum>
  <w:abstractNum w:abstractNumId="100">
    <w:nsid w:val="53584BCB"/>
    <w:multiLevelType w:val="hybridMultilevel"/>
    <w:lvl w:ilvl="0">
      <w:lvlJc w:val="left"/>
      <w:lvlText w:val="3"/>
      <w:numFmt w:val="bullet"/>
      <w:start w:val="1"/>
    </w:lvl>
  </w:abstractNum>
  <w:abstractNum w:abstractNumId="101">
    <w:nsid w:val="415E286C"/>
    <w:multiLevelType w:val="hybridMultilevel"/>
    <w:lvl w:ilvl="0">
      <w:lvlJc w:val="left"/>
      <w:lvlText w:val="4"/>
      <w:numFmt w:val="bullet"/>
      <w:start w:val="1"/>
    </w:lvl>
  </w:abstractNum>
  <w:abstractNum w:abstractNumId="102">
    <w:nsid w:val="7C58FD05"/>
    <w:multiLevelType w:val="hybridMultilevel"/>
    <w:lvl w:ilvl="0">
      <w:lvlJc w:val="left"/>
      <w:lvlText w:val="5"/>
      <w:numFmt w:val="bullet"/>
      <w:start w:val="1"/>
    </w:lvl>
  </w:abstractNum>
  <w:abstractNum w:abstractNumId="103">
    <w:nsid w:val="23D86AAC"/>
    <w:multiLevelType w:val="hybridMultilevel"/>
    <w:lvl w:ilvl="0">
      <w:lvlJc w:val="left"/>
      <w:lvlText w:val="6"/>
      <w:numFmt w:val="bullet"/>
      <w:start w:val="1"/>
    </w:lvl>
  </w:abstractNum>
  <w:abstractNum w:abstractNumId="104">
    <w:nsid w:val="45E6D486"/>
    <w:multiLevelType w:val="hybridMultilevel"/>
    <w:lvl w:ilvl="0">
      <w:lvlJc w:val="left"/>
      <w:lvlText w:val="(%1)"/>
      <w:numFmt w:val="lowerLetter"/>
      <w:start w:val="35"/>
    </w:lvl>
    <w:lvl w:ilvl="1">
      <w:lvlJc w:val="left"/>
      <w:lvlText w:val="%2"/>
      <w:numFmt w:val="decimal"/>
      <w:start w:val="1"/>
    </w:lvl>
  </w:abstractNum>
  <w:abstractNum w:abstractNumId="105">
    <w:nsid w:val="5C10FE21"/>
    <w:multiLevelType w:val="hybridMultilevel"/>
    <w:lvl w:ilvl="0">
      <w:lvlJc w:val="left"/>
      <w:lvlText w:val="(%1)"/>
      <w:numFmt w:val="lowerLetter"/>
      <w:start w:val="2"/>
    </w:lvl>
    <w:lvl w:ilvl="1">
      <w:lvlJc w:val="left"/>
      <w:lvlText w:val="%2."/>
      <w:numFmt w:val="decimal"/>
      <w:start w:val="2"/>
    </w:lvl>
  </w:abstractNum>
  <w:abstractNum w:abstractNumId="106">
    <w:nsid w:val="E7FFA2B"/>
    <w:multiLevelType w:val="hybridMultilevel"/>
    <w:lvl w:ilvl="0">
      <w:lvlJc w:val="left"/>
      <w:lvlText w:val="%1."/>
      <w:numFmt w:val="decimal"/>
      <w:start w:val="1"/>
    </w:lvl>
  </w:abstractNum>
  <w:abstractNum w:abstractNumId="107">
    <w:nsid w:val="3C5991AA"/>
    <w:multiLevelType w:val="hybridMultilevel"/>
    <w:lvl w:ilvl="0">
      <w:lvlJc w:val="left"/>
      <w:lvlText w:val="%1"/>
      <w:numFmt w:val="decimal"/>
      <w:start w:val="1"/>
    </w:lvl>
    <w:lvl w:ilvl="1">
      <w:lvlJc w:val="left"/>
      <w:lvlText w:val="%2."/>
      <w:numFmt w:val="decimal"/>
      <w:start w:val="4"/>
    </w:lvl>
  </w:abstractNum>
  <w:abstractNum w:abstractNumId="108">
    <w:nsid w:val="4BD8591A"/>
    <w:multiLevelType w:val="hybridMultilevel"/>
    <w:lvl w:ilvl="0">
      <w:lvlJc w:val="left"/>
      <w:lvlText w:val="%1."/>
      <w:numFmt w:val="decimal"/>
      <w:start w:val="1"/>
    </w:lvl>
    <w:lvl w:ilvl="1">
      <w:lvlJc w:val="left"/>
      <w:lvlText w:val="%2"/>
      <w:numFmt w:val="decimal"/>
      <w:start w:val="1"/>
    </w:lvl>
  </w:abstractNum>
  <w:abstractNum w:abstractNumId="109">
    <w:nsid w:val="78DF6A55"/>
    <w:multiLevelType w:val="hybridMultilevel"/>
    <w:lvl w:ilvl="0">
      <w:lvlJc w:val="left"/>
      <w:lvlText w:val="%1."/>
      <w:numFmt w:val="decimal"/>
      <w:start w:val="5"/>
    </w:lvl>
  </w:abstractNum>
  <w:abstractNum w:abstractNumId="110">
    <w:nsid w:val="39B7AAA2"/>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11">
    <w:nsid w:val="2B0D8DB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12">
    <w:nsid w:val="6C80EC70"/>
    <w:multiLevelType w:val="hybridMultilevel"/>
    <w:lvl w:ilvl="0">
      <w:lvlJc w:val="left"/>
      <w:lvlText w:val="%1."/>
      <w:numFmt w:val="decimal"/>
      <w:start w:val="2"/>
    </w:lvl>
  </w:abstractNum>
  <w:abstractNum w:abstractNumId="113">
    <w:nsid w:val="379E21B5"/>
    <w:multiLevelType w:val="hybridMultilevel"/>
    <w:lvl w:ilvl="0">
      <w:lvlJc w:val="left"/>
      <w:lvlText w:val="(%1)"/>
      <w:numFmt w:val="lowerLetter"/>
      <w:start w:val="1"/>
    </w:lvl>
  </w:abstractNum>
  <w:abstractNum w:abstractNumId="114">
    <w:nsid w:val="69E373"/>
    <w:multiLevelType w:val="hybridMultilevel"/>
    <w:lvl w:ilvl="0">
      <w:lvlJc w:val="left"/>
      <w:lvlText w:val="(%1)"/>
      <w:numFmt w:val="lowerRoman"/>
      <w:start w:val="4"/>
    </w:lvl>
  </w:abstractNum>
  <w:abstractNum w:abstractNumId="115">
    <w:nsid w:val="2C27173B"/>
    <w:multiLevelType w:val="hybridMultilevel"/>
    <w:lvl w:ilvl="0">
      <w:lvlJc w:val="left"/>
      <w:lvlText w:val="(%1)"/>
      <w:numFmt w:val="lowerRoman"/>
      <w:start w:val="4"/>
    </w:lvl>
  </w:abstractNum>
  <w:abstractNum w:abstractNumId="116">
    <w:nsid w:val="4C9B0904"/>
    <w:multiLevelType w:val="hybridMultilevel"/>
    <w:lvl w:ilvl="0">
      <w:lvlJc w:val="left"/>
      <w:lvlText w:val="(%1)"/>
      <w:numFmt w:val="lowerLetter"/>
      <w:start w:val="1"/>
    </w:lvl>
  </w:abstractNum>
  <w:abstractNum w:abstractNumId="117">
    <w:nsid w:val="6AA7B75C"/>
    <w:multiLevelType w:val="hybridMultilevel"/>
    <w:lvl w:ilvl="0">
      <w:lvlJc w:val="left"/>
      <w:lvlText w:val="(%1)"/>
      <w:numFmt w:val="lowerLetter"/>
      <w:start w:val="1"/>
    </w:lvl>
  </w:abstractNum>
  <w:abstractNum w:abstractNumId="118">
    <w:nsid w:val="1DF029D3"/>
    <w:multiLevelType w:val="hybridMultilevel"/>
    <w:lvl w:ilvl="0">
      <w:lvlJc w:val="left"/>
      <w:lvlText w:val="(%1)"/>
      <w:numFmt w:val="lowerLetter"/>
      <w:start w:val="6"/>
    </w:lvl>
  </w:abstractNum>
  <w:abstractNum w:abstractNumId="119">
    <w:nsid w:val="5675FF36"/>
    <w:multiLevelType w:val="hybridMultilevel"/>
    <w:lvl w:ilvl="0">
      <w:lvlJc w:val="left"/>
      <w:lvlText w:val="(%1)"/>
      <w:numFmt w:val="lowerLetter"/>
      <w:start w:val="1"/>
    </w:lvl>
  </w:abstractNum>
  <w:abstractNum w:abstractNumId="120">
    <w:nsid w:val="3DD15094"/>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2026-03-27T15:38:58Z</dcterms:created>
  <dcterms:modified xsi:type="dcterms:W3CDTF">2026-03-27T15:38:58Z</dcterms:modified>
</cp:coreProperties>
</file>