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UNITED STATES</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AND EXCHANGE COMMISSION</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12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10-Q</w:t>
      </w:r>
    </w:p>
    <w:p>
      <w:pPr>
        <w:pStyle w:val="TextBody"/>
        <w:bidi w:val="0"/>
        <w:spacing w:lineRule="auto" w:line="288" w:before="0" w:after="0"/>
        <w:jc w:val="center"/>
        <w:rPr>
          <w:color w:val="000000"/>
          <w:shd w:fill="FFFFFF" w:val="clear"/>
        </w:rPr>
      </w:pPr>
      <w:r>
        <w:rPr>
          <w:color w:val="000000"/>
          <w:shd w:fill="FFFFFF" w:val="clear"/>
        </w:rPr>
        <w:t>☑  </w:t>
      </w:r>
      <w:r>
        <w:rPr>
          <w:rFonts w:ascii="Times New Roman;serif" w:hAnsi="Times New Roman;serif"/>
          <w:b/>
          <w:color w:val="000000"/>
          <w:sz w:val="20"/>
          <w:shd w:fill="FFFFFF" w:val="clear"/>
        </w:rPr>
        <w:t>QUARTERLY REPORT PURSUANT TO SECTION 13 OR 15(d) OF</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THE SECURITIES EXCHANGE ACT OF 1934</w:t>
      </w:r>
    </w:p>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quarterly period ended June 30, 2026</w:t>
      </w:r>
    </w:p>
    <w:p>
      <w:pPr>
        <w:pStyle w:val="TextBody"/>
        <w:bidi w:val="0"/>
        <w:spacing w:lineRule="auto" w:line="288" w:before="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OR</w:t>
      </w:r>
    </w:p>
    <w:p>
      <w:pPr>
        <w:pStyle w:val="TextBody"/>
        <w:bidi w:val="0"/>
        <w:spacing w:lineRule="auto" w:line="288" w:before="0" w:after="0"/>
        <w:jc w:val="center"/>
        <w:rPr>
          <w:color w:val="000000"/>
          <w:shd w:fill="FFFFFF" w:val="clear"/>
        </w:rPr>
      </w:pPr>
      <w:r>
        <w:rPr>
          <w:color w:val="000000"/>
          <w:shd w:fill="FFFFFF" w:val="clear"/>
        </w:rPr>
        <w:t>☐  </w:t>
      </w:r>
      <w:r>
        <w:rPr>
          <w:rFonts w:ascii="Times New Roman;serif" w:hAnsi="Times New Roman;serif"/>
          <w:b/>
          <w:color w:val="000000"/>
          <w:sz w:val="20"/>
          <w:shd w:fill="FFFFFF" w:val="clear"/>
        </w:rPr>
        <w:t>TRANSITION REPORT PURSUANT TO SECTION 13 OR 15(d) OF</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THE SECURITIES EXCHANGE ACT OF 1934</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transition period from ___ to ___.</w:t>
      </w:r>
    </w:p>
    <w:p>
      <w:pPr>
        <w:pStyle w:val="TextBody"/>
        <w:bidi w:val="0"/>
        <w:spacing w:lineRule="auto" w:line="288" w:before="0" w:after="240"/>
        <w:jc w:val="center"/>
        <w:rPr/>
      </w:pPr>
      <w:r>
        <w:rPr>
          <w:rFonts w:ascii="Times New Roman;serif" w:hAnsi="Times New Roman;serif"/>
          <w:b w:val="false"/>
          <w:color w:val="000000"/>
          <w:sz w:val="20"/>
          <w:shd w:fill="FFFFFF" w:val="clear"/>
        </w:rPr>
        <w:t xml:space="preserve">Commission file number: </w:t>
      </w:r>
      <w:r>
        <w:rPr>
          <w:rFonts w:ascii="Times New Roman;serif" w:hAnsi="Times New Roman;serif"/>
          <w:b w:val="false"/>
          <w:color w:val="000000"/>
          <w:sz w:val="20"/>
        </w:rPr>
        <w:t>1-14323</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ENTERPRISE PRODUCTS PARTNERS L.P.</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7377" w:type="dxa"/>
        <w:jc w:val="left"/>
        <w:tblInd w:w="0" w:type="dxa"/>
        <w:tblLayout w:type="fixed"/>
        <w:tblCellMar>
          <w:top w:w="28" w:type="dxa"/>
          <w:left w:w="28" w:type="dxa"/>
          <w:bottom w:w="28" w:type="dxa"/>
          <w:right w:w="28" w:type="dxa"/>
        </w:tblCellMar>
      </w:tblPr>
      <w:tblGrid>
        <w:gridCol w:w="1584"/>
        <w:gridCol w:w="1390"/>
        <w:gridCol w:w="1406"/>
        <w:gridCol w:w="109"/>
        <w:gridCol w:w="109"/>
        <w:gridCol w:w="109"/>
        <w:gridCol w:w="780"/>
        <w:gridCol w:w="780"/>
        <w:gridCol w:w="1110"/>
      </w:tblGrid>
      <w:tr>
        <w:trPr/>
        <w:tc>
          <w:tcPr>
            <w:tcW w:w="15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76-0568219</w:t>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4410" w:type="dxa"/>
        <w:jc w:val="left"/>
        <w:tblInd w:w="0" w:type="dxa"/>
        <w:tblLayout w:type="fixed"/>
        <w:tblCellMar>
          <w:top w:w="28" w:type="dxa"/>
          <w:left w:w="28" w:type="dxa"/>
          <w:bottom w:w="28" w:type="dxa"/>
          <w:right w:w="28" w:type="dxa"/>
        </w:tblCellMar>
      </w:tblPr>
      <w:tblGrid>
        <w:gridCol w:w="1412"/>
        <w:gridCol w:w="1239"/>
        <w:gridCol w:w="1759"/>
      </w:tblGrid>
      <w:tr>
        <w:trPr/>
        <w:tc>
          <w:tcPr>
            <w:tcW w:w="141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1100 Louisiana Street, 10th Floor</w:t>
            </w:r>
          </w:p>
        </w:tc>
      </w:tr>
      <w:tr>
        <w:trPr/>
        <w:tc>
          <w:tcPr>
            <w:tcW w:w="44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Houston, Texas 77002</w:t>
            </w:r>
          </w:p>
        </w:tc>
      </w:tr>
      <w:tr>
        <w:trPr/>
        <w:tc>
          <w:tcPr>
            <w:tcW w:w="4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r>
        <w:trPr/>
        <w:tc>
          <w:tcPr>
            <w:tcW w:w="44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(713) 381-6500</w:t>
            </w:r>
          </w:p>
        </w:tc>
      </w:tr>
      <w:tr>
        <w:trPr/>
        <w:tc>
          <w:tcPr>
            <w:tcW w:w="4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r>
    </w:tbl>
    <w:p>
      <w:pPr>
        <w:pStyle w:val="TextBody"/>
        <w:bidi w:val="0"/>
        <w:spacing w:lineRule="auto" w:line="288" w:before="0" w:after="6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Securities registered pursuant to Section 12(b) of the Securities Exchange Act of 1934:</w:t>
      </w:r>
    </w:p>
    <w:tbl>
      <w:tblPr>
        <w:tblW w:w="6223" w:type="dxa"/>
        <w:jc w:val="left"/>
        <w:tblInd w:w="0" w:type="dxa"/>
        <w:tblLayout w:type="fixed"/>
        <w:tblCellMar>
          <w:top w:w="28" w:type="dxa"/>
          <w:left w:w="28" w:type="dxa"/>
          <w:bottom w:w="28" w:type="dxa"/>
          <w:right w:w="28" w:type="dxa"/>
        </w:tblCellMar>
      </w:tblPr>
      <w:tblGrid>
        <w:gridCol w:w="508"/>
        <w:gridCol w:w="448"/>
        <w:gridCol w:w="454"/>
        <w:gridCol w:w="474"/>
        <w:gridCol w:w="474"/>
        <w:gridCol w:w="476"/>
        <w:gridCol w:w="992"/>
        <w:gridCol w:w="992"/>
        <w:gridCol w:w="1405"/>
      </w:tblGrid>
      <w:tr>
        <w:trPr/>
        <w:tc>
          <w:tcPr>
            <w:tcW w:w="50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Trading Symbol(s)</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 of Each Exchange On Which Registered</w:t>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EPD</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0" w:after="24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24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lineRule="auto" w:line="288" w:before="0" w:after="18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485" w:type="dxa"/>
        <w:jc w:val="left"/>
        <w:tblInd w:w="0" w:type="dxa"/>
        <w:tblLayout w:type="fixed"/>
        <w:tblCellMar>
          <w:top w:w="28" w:type="dxa"/>
          <w:left w:w="28" w:type="dxa"/>
          <w:bottom w:w="28" w:type="dxa"/>
          <w:right w:w="28" w:type="dxa"/>
        </w:tblCellMar>
      </w:tblPr>
      <w:tblGrid>
        <w:gridCol w:w="809"/>
        <w:gridCol w:w="711"/>
        <w:gridCol w:w="715"/>
        <w:gridCol w:w="658"/>
        <w:gridCol w:w="658"/>
        <w:gridCol w:w="93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Smaller reporting company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24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is a shell company (as defined in Rule 12b-2 of the Exchange Act).   Yes ☐  No ☑</w:t>
      </w:r>
    </w:p>
    <w:p>
      <w:pPr>
        <w:pStyle w:val="TextBody"/>
        <w:bidi w:val="0"/>
        <w:spacing w:lineRule="auto" w:line="288" w:before="0" w:after="240"/>
        <w:jc w:val="both"/>
        <w:rPr/>
      </w:pPr>
      <w:r>
        <w:rPr>
          <w:rFonts w:ascii="Times New Roman;serif" w:hAnsi="Times New Roman;serif"/>
          <w:b w:val="false"/>
          <w:color w:val="000000"/>
          <w:sz w:val="18"/>
          <w:shd w:fill="FFFFFF" w:val="clear"/>
        </w:rPr>
        <w:t xml:space="preserve">There were </w:t>
      </w:r>
      <w:r>
        <w:rPr>
          <w:rFonts w:ascii="Times New Roman;serif" w:hAnsi="Times New Roman;serif"/>
          <w:b w:val="false"/>
          <w:color w:val="000000"/>
          <w:sz w:val="18"/>
        </w:rPr>
        <w:t>2,159,477,169</w:t>
      </w:r>
      <w:r>
        <w:rPr>
          <w:color w:val="000000"/>
          <w:shd w:fill="FFFFFF" w:val="clear"/>
        </w:rPr>
        <w:t xml:space="preserve"> </w:t>
      </w:r>
      <w:r>
        <w:rPr>
          <w:rFonts w:ascii="Times New Roman;serif" w:hAnsi="Times New Roman;serif"/>
          <w:b w:val="false"/>
          <w:color w:val="000000"/>
          <w:sz w:val="18"/>
          <w:shd w:fill="FFFFFF" w:val="clear"/>
        </w:rPr>
        <w:t xml:space="preserve">common units of Enterprise Products Partners L.P. outstanding at the close of business on </w:t>
      </w:r>
      <w:r>
        <w:rPr>
          <w:rFonts w:ascii="Times New Roman;serif" w:hAnsi="Times New Roman;serif"/>
          <w:b w:val="false"/>
          <w:color w:val="000000"/>
          <w:sz w:val="18"/>
        </w:rPr>
        <w:t>July 31, 2026</w:t>
      </w:r>
      <w:r>
        <w:rPr>
          <w:rFonts w:ascii="Times New Roman;serif" w:hAnsi="Times New Roman;serif"/>
          <w:b w:val="false"/>
          <w:color w:val="000000"/>
          <w:sz w:val="18"/>
          <w:shd w:fill="FFFFFF" w:val="clear"/>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319"/>
        <w:gridCol w:w="280"/>
        <w:gridCol w:w="280"/>
        <w:gridCol w:w="2520"/>
        <w:gridCol w:w="2517"/>
        <w:gridCol w:w="2526"/>
        <w:gridCol w:w="515"/>
        <w:gridCol w:w="515"/>
        <w:gridCol w:w="733"/>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0">
              <w:r>
                <w:rPr>
                  <w:rStyle w:val="InternetLink"/>
                  <w:rFonts w:ascii="Times New Roman;serif" w:hAnsi="Times New Roman;serif"/>
                  <w:b/>
                  <w:color w:val="0000FF"/>
                  <w:sz w:val="20"/>
                  <w:u w:val="single"/>
                </w:rPr>
                <w:t>PART I. FINANCIAL INFORMATION.</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3">
              <w:r>
                <w:rPr>
                  <w:rStyle w:val="InternetLink"/>
                  <w:rFonts w:ascii="Times New Roman;serif" w:hAnsi="Times New Roman;serif"/>
                  <w:b/>
                  <w:color w:val="0000FF"/>
                  <w:sz w:val="20"/>
                  <w:u w:val="single"/>
                </w:rPr>
                <w:t>Item 1.</w:t>
              </w:r>
            </w:hyperlink>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3">
              <w:r>
                <w:rPr>
                  <w:rStyle w:val="InternetLink"/>
                  <w:rFonts w:ascii="Times New Roman;serif" w:hAnsi="Times New Roman;serif"/>
                  <w:b/>
                  <w:color w:val="0000FF"/>
                  <w:sz w:val="20"/>
                  <w:u w:val="single"/>
                </w:rPr>
                <w:t>Financial Statements.</w:t>
              </w:r>
            </w:hyperlink>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6">
              <w:r>
                <w:rPr>
                  <w:rStyle w:val="InternetLink"/>
                  <w:rFonts w:ascii="Times New Roman;serif" w:hAnsi="Times New Roman;serif"/>
                  <w:b w:val="false"/>
                  <w:color w:val="0000FF"/>
                  <w:sz w:val="20"/>
                  <w:u w:val="single"/>
                </w:rPr>
                <w:t>Unaudited Condensed Consolidated Balance Sheets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6">
              <w:r>
                <w:rPr>
                  <w:rStyle w:val="InternetLink"/>
                  <w:rFonts w:ascii="Times New Roman;serif" w:hAnsi="Times New Roman;serif"/>
                  <w:b w:val="false"/>
                  <w:color w:val="0000FF"/>
                  <w:sz w:val="20"/>
                  <w:u w:val="single"/>
                </w:rPr>
                <w:t>2</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9">
              <w:r>
                <w:rPr>
                  <w:rStyle w:val="InternetLink"/>
                  <w:rFonts w:ascii="Times New Roman;serif" w:hAnsi="Times New Roman;serif"/>
                  <w:b w:val="false"/>
                  <w:color w:val="0000FF"/>
                  <w:sz w:val="20"/>
                  <w:u w:val="single"/>
                </w:rPr>
                <w:t>Unaudited Condensed Statements of Consolidated Operations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9">
              <w:r>
                <w:rPr>
                  <w:rStyle w:val="InternetLink"/>
                  <w:rFonts w:ascii="Times New Roman;serif" w:hAnsi="Times New Roman;serif"/>
                  <w:b w:val="false"/>
                  <w:color w:val="0000FF"/>
                  <w:sz w:val="20"/>
                  <w:u w:val="single"/>
                </w:rPr>
                <w:t>3</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22">
              <w:r>
                <w:rPr>
                  <w:rStyle w:val="InternetLink"/>
                  <w:rFonts w:ascii="Times New Roman;serif" w:hAnsi="Times New Roman;serif"/>
                  <w:b w:val="false"/>
                  <w:color w:val="0000FF"/>
                  <w:sz w:val="20"/>
                  <w:u w:val="single"/>
                </w:rPr>
                <w:t>Unaudited Condensed Statements of Consolidated Comprehensive Income</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22">
              <w:r>
                <w:rPr>
                  <w:rStyle w:val="InternetLink"/>
                  <w:rFonts w:ascii="Times New Roman;serif" w:hAnsi="Times New Roman;serif"/>
                  <w:b w:val="false"/>
                  <w:color w:val="0000FF"/>
                  <w:sz w:val="20"/>
                  <w:u w:val="single"/>
                </w:rPr>
                <w:t>4</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25">
              <w:r>
                <w:rPr>
                  <w:rStyle w:val="InternetLink"/>
                  <w:rFonts w:ascii="Times New Roman;serif" w:hAnsi="Times New Roman;serif"/>
                  <w:b w:val="false"/>
                  <w:color w:val="0000FF"/>
                  <w:sz w:val="20"/>
                  <w:u w:val="single"/>
                </w:rPr>
                <w:t>Unaudited Condensed Statements of Consolidated Cash Flows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25">
              <w:r>
                <w:rPr>
                  <w:rStyle w:val="InternetLink"/>
                  <w:rFonts w:ascii="Times New Roman;serif" w:hAnsi="Times New Roman;serif"/>
                  <w:b w:val="false"/>
                  <w:color w:val="0000FF"/>
                  <w:sz w:val="20"/>
                  <w:u w:val="single"/>
                </w:rPr>
                <w:t>5</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28">
              <w:r>
                <w:rPr>
                  <w:rStyle w:val="InternetLink"/>
                  <w:rFonts w:ascii="Times New Roman;serif" w:hAnsi="Times New Roman;serif"/>
                  <w:b w:val="false"/>
                  <w:color w:val="0000FF"/>
                  <w:sz w:val="20"/>
                  <w:u w:val="single"/>
                </w:rPr>
                <w:t>Unaudited Condensed Statements of Consolidated Equity</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28">
              <w:r>
                <w:rPr>
                  <w:rStyle w:val="InternetLink"/>
                  <w:rFonts w:ascii="Times New Roman;serif" w:hAnsi="Times New Roman;serif"/>
                  <w:b w:val="false"/>
                  <w:color w:val="0000FF"/>
                  <w:sz w:val="20"/>
                  <w:u w:val="single"/>
                </w:rPr>
                <w:t>6</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31">
              <w:r>
                <w:rPr>
                  <w:rStyle w:val="InternetLink"/>
                  <w:rFonts w:ascii="Times New Roman;serif" w:hAnsi="Times New Roman;serif"/>
                  <w:b w:val="false"/>
                  <w:color w:val="0000FF"/>
                  <w:sz w:val="20"/>
                  <w:u w:val="single"/>
                </w:rPr>
                <w:t>Notes to Unaudited Condensed Consolidated Financial Statements:</w:t>
              </w:r>
            </w:hyperlink>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34">
              <w:r>
                <w:rPr>
                  <w:rStyle w:val="InternetLink"/>
                  <w:rFonts w:ascii="Times New Roman;serif" w:hAnsi="Times New Roman;serif"/>
                  <w:b w:val="false"/>
                  <w:color w:val="0000FF"/>
                  <w:sz w:val="20"/>
                  <w:u w:val="single"/>
                </w:rPr>
                <w:t>1. Partnership Organization and Operations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34">
              <w:r>
                <w:rPr>
                  <w:rStyle w:val="InternetLink"/>
                  <w:rFonts w:ascii="Times New Roman;serif" w:hAnsi="Times New Roman;serif"/>
                  <w:b w:val="false"/>
                  <w:color w:val="0000FF"/>
                  <w:sz w:val="20"/>
                  <w:u w:val="single"/>
                </w:rPr>
                <w:t>9</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37">
              <w:r>
                <w:rPr>
                  <w:rStyle w:val="InternetLink"/>
                  <w:rFonts w:ascii="Times New Roman;serif" w:hAnsi="Times New Roman;serif"/>
                  <w:b w:val="false"/>
                  <w:color w:val="0000FF"/>
                  <w:sz w:val="20"/>
                  <w:u w:val="single"/>
                </w:rPr>
                <w:t>2. Summary of Significant Accounting Policies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37">
              <w:r>
                <w:rPr>
                  <w:rStyle w:val="InternetLink"/>
                  <w:rFonts w:ascii="Times New Roman;serif" w:hAnsi="Times New Roman;serif"/>
                  <w:b w:val="false"/>
                  <w:color w:val="0000FF"/>
                  <w:sz w:val="20"/>
                  <w:u w:val="single"/>
                </w:rPr>
                <w:t>9</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40">
              <w:r>
                <w:rPr>
                  <w:rStyle w:val="InternetLink"/>
                  <w:rFonts w:ascii="Times New Roman;serif" w:hAnsi="Times New Roman;serif"/>
                  <w:b w:val="false"/>
                  <w:color w:val="0000FF"/>
                  <w:sz w:val="20"/>
                  <w:u w:val="single"/>
                </w:rPr>
                <w:t>3. Inventories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40">
              <w:r>
                <w:rPr>
                  <w:rStyle w:val="InternetLink"/>
                  <w:rFonts w:ascii="Times New Roman;serif" w:hAnsi="Times New Roman;serif"/>
                  <w:b w:val="false"/>
                  <w:color w:val="0000FF"/>
                  <w:sz w:val="20"/>
                  <w:u w:val="single"/>
                </w:rPr>
                <w:t>10</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43">
              <w:r>
                <w:rPr>
                  <w:rStyle w:val="InternetLink"/>
                  <w:rFonts w:ascii="Times New Roman;serif" w:hAnsi="Times New Roman;serif"/>
                  <w:b w:val="false"/>
                  <w:color w:val="0000FF"/>
                  <w:sz w:val="20"/>
                  <w:u w:val="single"/>
                </w:rPr>
                <w:t>4. Property, Plant and Equipment</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43">
              <w:r>
                <w:rPr>
                  <w:rStyle w:val="InternetLink"/>
                  <w:rFonts w:ascii="Times New Roman;serif" w:hAnsi="Times New Roman;serif"/>
                  <w:b w:val="false"/>
                  <w:color w:val="0000FF"/>
                  <w:sz w:val="20"/>
                  <w:u w:val="single"/>
                </w:rPr>
                <w:t>11</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46">
              <w:r>
                <w:rPr>
                  <w:rStyle w:val="InternetLink"/>
                  <w:rFonts w:ascii="Times New Roman;serif" w:hAnsi="Times New Roman;serif"/>
                  <w:b w:val="false"/>
                  <w:color w:val="0000FF"/>
                  <w:sz w:val="20"/>
                  <w:u w:val="single"/>
                </w:rPr>
                <w:t>5. Investments in Unconsolidated Affiliates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46">
              <w:r>
                <w:rPr>
                  <w:rStyle w:val="InternetLink"/>
                  <w:rFonts w:ascii="Times New Roman;serif" w:hAnsi="Times New Roman;serif"/>
                  <w:b w:val="false"/>
                  <w:color w:val="0000FF"/>
                  <w:sz w:val="20"/>
                  <w:u w:val="single"/>
                </w:rPr>
                <w:t>12</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49">
              <w:r>
                <w:rPr>
                  <w:rStyle w:val="InternetLink"/>
                  <w:rFonts w:ascii="Times New Roman;serif" w:hAnsi="Times New Roman;serif"/>
                  <w:b w:val="false"/>
                  <w:color w:val="0000FF"/>
                  <w:sz w:val="20"/>
                  <w:u w:val="single"/>
                </w:rPr>
                <w:t>6. Intangible Assets and Goodwill</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49">
              <w:r>
                <w:rPr>
                  <w:rStyle w:val="InternetLink"/>
                  <w:rFonts w:ascii="Times New Roman;serif" w:hAnsi="Times New Roman;serif"/>
                  <w:b w:val="false"/>
                  <w:color w:val="0000FF"/>
                  <w:sz w:val="20"/>
                  <w:u w:val="single"/>
                </w:rPr>
                <w:t>13</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52">
              <w:r>
                <w:rPr>
                  <w:rStyle w:val="InternetLink"/>
                  <w:rFonts w:ascii="Times New Roman;serif" w:hAnsi="Times New Roman;serif"/>
                  <w:b w:val="false"/>
                  <w:color w:val="0000FF"/>
                  <w:sz w:val="20"/>
                  <w:u w:val="single"/>
                </w:rPr>
                <w:t>7. Debt Obligations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52">
              <w:r>
                <w:rPr>
                  <w:rStyle w:val="InternetLink"/>
                  <w:rFonts w:ascii="Times New Roman;serif" w:hAnsi="Times New Roman;serif"/>
                  <w:b w:val="false"/>
                  <w:color w:val="0000FF"/>
                  <w:sz w:val="20"/>
                  <w:u w:val="single"/>
                </w:rPr>
                <w:t>14</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55">
              <w:r>
                <w:rPr>
                  <w:rStyle w:val="InternetLink"/>
                  <w:rFonts w:ascii="Times New Roman;serif" w:hAnsi="Times New Roman;serif"/>
                  <w:b w:val="false"/>
                  <w:color w:val="0000FF"/>
                  <w:sz w:val="20"/>
                  <w:u w:val="single"/>
                </w:rPr>
                <w:t>8. Capital Accounts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55">
              <w:r>
                <w:rPr>
                  <w:rStyle w:val="InternetLink"/>
                  <w:rFonts w:ascii="Times New Roman;serif" w:hAnsi="Times New Roman;serif"/>
                  <w:b w:val="false"/>
                  <w:color w:val="0000FF"/>
                  <w:sz w:val="20"/>
                  <w:u w:val="single"/>
                </w:rPr>
                <w:t>16</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58">
              <w:r>
                <w:rPr>
                  <w:rStyle w:val="InternetLink"/>
                  <w:rFonts w:ascii="Times New Roman;serif" w:hAnsi="Times New Roman;serif"/>
                  <w:b w:val="false"/>
                  <w:color w:val="0000FF"/>
                  <w:sz w:val="20"/>
                  <w:u w:val="single"/>
                </w:rPr>
                <w:t>9. Revenues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58">
              <w:r>
                <w:rPr>
                  <w:rStyle w:val="InternetLink"/>
                  <w:rFonts w:ascii="Times New Roman;serif" w:hAnsi="Times New Roman;serif"/>
                  <w:b w:val="false"/>
                  <w:color w:val="0000FF"/>
                  <w:sz w:val="20"/>
                  <w:u w:val="single"/>
                </w:rPr>
                <w:t>19</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64">
              <w:r>
                <w:rPr>
                  <w:rStyle w:val="InternetLink"/>
                  <w:rFonts w:ascii="Times New Roman;serif" w:hAnsi="Times New Roman;serif"/>
                  <w:b w:val="false"/>
                  <w:color w:val="0000FF"/>
                  <w:sz w:val="20"/>
                  <w:u w:val="single"/>
                </w:rPr>
                <w:t>10. Business Segments and Related Information</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64">
              <w:r>
                <w:rPr>
                  <w:rStyle w:val="InternetLink"/>
                  <w:rFonts w:ascii="Times New Roman;serif" w:hAnsi="Times New Roman;serif"/>
                  <w:b w:val="false"/>
                  <w:color w:val="0000FF"/>
                  <w:sz w:val="20"/>
                  <w:u w:val="single"/>
                </w:rPr>
                <w:t>20</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67">
              <w:r>
                <w:rPr>
                  <w:rStyle w:val="InternetLink"/>
                  <w:rFonts w:ascii="Times New Roman;serif" w:hAnsi="Times New Roman;serif"/>
                  <w:b w:val="false"/>
                  <w:color w:val="0000FF"/>
                  <w:sz w:val="20"/>
                  <w:u w:val="single"/>
                </w:rPr>
                <w:t>11. Earnings Per Unit</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67">
              <w:r>
                <w:rPr>
                  <w:rStyle w:val="InternetLink"/>
                  <w:rFonts w:ascii="Times New Roman;serif" w:hAnsi="Times New Roman;serif"/>
                  <w:b w:val="false"/>
                  <w:color w:val="0000FF"/>
                  <w:sz w:val="20"/>
                  <w:u w:val="single"/>
                </w:rPr>
                <w:t>27</w:t>
              </w:r>
            </w:hyperlink>
          </w:p>
        </w:tc>
      </w:tr>
      <w:tr>
        <w:trPr/>
        <w:tc>
          <w:tcPr>
            <w:tcW w:w="879" w:type="dxa"/>
            <w:gridSpan w:val="3"/>
            <w:tcBorders/>
            <w:vAlign w:val="center"/>
          </w:tcPr>
          <w:p>
            <w:pPr>
              <w:pStyle w:val="TableContents"/>
              <w:bidi w:val="0"/>
              <w:spacing w:before="0" w:after="283"/>
              <w:jc w:val="left"/>
              <w:rPr>
                <w:sz w:val="4"/>
                <w:szCs w:val="4"/>
              </w:rPr>
            </w:pPr>
            <w:r>
              <w:rPr>
                <w:sz w:val="4"/>
                <w:szCs w:val="4"/>
              </w:rPr>
            </w:r>
          </w:p>
        </w:tc>
        <w:tc>
          <w:tcPr>
            <w:tcW w:w="756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73">
              <w:r>
                <w:rPr>
                  <w:rStyle w:val="InternetLink"/>
                  <w:rFonts w:ascii="Times New Roman;serif" w:hAnsi="Times New Roman;serif"/>
                  <w:b w:val="false"/>
                  <w:color w:val="0000FF"/>
                  <w:sz w:val="20"/>
                  <w:u w:val="single"/>
                </w:rPr>
                <w:t>12. Equity-Based Awards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73">
              <w:r>
                <w:rPr>
                  <w:rStyle w:val="InternetLink"/>
                  <w:rFonts w:ascii="Times New Roman;serif" w:hAnsi="Times New Roman;serif"/>
                  <w:b w:val="false"/>
                  <w:color w:val="0000FF"/>
                  <w:sz w:val="20"/>
                  <w:u w:val="single"/>
                </w:rPr>
                <w:t>27</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76">
              <w:r>
                <w:rPr>
                  <w:rStyle w:val="InternetLink"/>
                  <w:rFonts w:ascii="Times New Roman;serif" w:hAnsi="Times New Roman;serif"/>
                  <w:b w:val="false"/>
                  <w:color w:val="0000FF"/>
                  <w:sz w:val="20"/>
                  <w:u w:val="single"/>
                </w:rPr>
                <w:t>13. Hedging Activities and Fair Value Measurements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76">
              <w:r>
                <w:rPr>
                  <w:rStyle w:val="InternetLink"/>
                  <w:rFonts w:ascii="Times New Roman;serif" w:hAnsi="Times New Roman;serif"/>
                  <w:b w:val="false"/>
                  <w:color w:val="0000FF"/>
                  <w:sz w:val="20"/>
                  <w:u w:val="single"/>
                </w:rPr>
                <w:t>29</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79">
              <w:r>
                <w:rPr>
                  <w:rStyle w:val="InternetLink"/>
                  <w:rFonts w:ascii="Times New Roman;serif" w:hAnsi="Times New Roman;serif"/>
                  <w:b w:val="false"/>
                  <w:color w:val="0000FF"/>
                  <w:sz w:val="20"/>
                  <w:u w:val="single"/>
                </w:rPr>
                <w:t>14. Related Party Transactions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79">
              <w:r>
                <w:rPr>
                  <w:rStyle w:val="InternetLink"/>
                  <w:rFonts w:ascii="Times New Roman;serif" w:hAnsi="Times New Roman;serif"/>
                  <w:b w:val="false"/>
                  <w:color w:val="0000FF"/>
                  <w:sz w:val="20"/>
                  <w:u w:val="single"/>
                </w:rPr>
                <w:t>35</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82">
              <w:r>
                <w:rPr>
                  <w:rStyle w:val="InternetLink"/>
                  <w:rFonts w:ascii="Times New Roman;serif" w:hAnsi="Times New Roman;serif"/>
                  <w:b w:val="false"/>
                  <w:color w:val="0000FF"/>
                  <w:sz w:val="20"/>
                  <w:u w:val="single"/>
                </w:rPr>
                <w:t>15. Income Taxes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82">
              <w:r>
                <w:rPr>
                  <w:rStyle w:val="InternetLink"/>
                  <w:rFonts w:ascii="Times New Roman;serif" w:hAnsi="Times New Roman;serif"/>
                  <w:b w:val="false"/>
                  <w:color w:val="0000FF"/>
                  <w:sz w:val="20"/>
                  <w:u w:val="single"/>
                </w:rPr>
                <w:t>36</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85">
              <w:r>
                <w:rPr>
                  <w:rStyle w:val="InternetLink"/>
                  <w:rFonts w:ascii="Times New Roman;serif" w:hAnsi="Times New Roman;serif"/>
                  <w:b w:val="false"/>
                  <w:color w:val="0000FF"/>
                  <w:sz w:val="20"/>
                  <w:u w:val="single"/>
                </w:rPr>
                <w:t>16. Commitments and Contingent Liabilities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85">
              <w:r>
                <w:rPr>
                  <w:rStyle w:val="InternetLink"/>
                  <w:rFonts w:ascii="Times New Roman;serif" w:hAnsi="Times New Roman;serif"/>
                  <w:b w:val="false"/>
                  <w:color w:val="0000FF"/>
                  <w:sz w:val="20"/>
                  <w:u w:val="single"/>
                </w:rPr>
                <w:t>37</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88">
              <w:r>
                <w:rPr>
                  <w:rStyle w:val="InternetLink"/>
                  <w:rFonts w:ascii="Times New Roman;serif" w:hAnsi="Times New Roman;serif"/>
                  <w:b w:val="false"/>
                  <w:color w:val="0000FF"/>
                  <w:sz w:val="20"/>
                  <w:u w:val="single"/>
                </w:rPr>
                <w:t>17. Supplemental Cash Flow Information</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88">
              <w:r>
                <w:rPr>
                  <w:rStyle w:val="InternetLink"/>
                  <w:rFonts w:ascii="Times New Roman;serif" w:hAnsi="Times New Roman;serif"/>
                  <w:b w:val="false"/>
                  <w:color w:val="0000FF"/>
                  <w:sz w:val="20"/>
                  <w:u w:val="single"/>
                </w:rPr>
                <w:t>40</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526">
              <w:r>
                <w:rPr>
                  <w:rStyle w:val="InternetLink"/>
                  <w:rFonts w:ascii="Times New Roman;serif" w:hAnsi="Times New Roman;serif"/>
                  <w:b w:val="false"/>
                  <w:color w:val="0000FF"/>
                  <w:sz w:val="20"/>
                  <w:u w:val="single"/>
                </w:rPr>
                <w:t>18. Subsequent Event</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526">
              <w:r>
                <w:rPr>
                  <w:rStyle w:val="InternetLink"/>
                  <w:rFonts w:ascii="Times New Roman;serif" w:hAnsi="Times New Roman;serif"/>
                  <w:b w:val="false"/>
                  <w:color w:val="0000FF"/>
                  <w:sz w:val="20"/>
                  <w:u w:val="single"/>
                </w:rPr>
                <w:t>40</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91">
              <w:r>
                <w:rPr>
                  <w:rStyle w:val="InternetLink"/>
                  <w:rFonts w:ascii="Times New Roman;serif" w:hAnsi="Times New Roman;serif"/>
                  <w:b/>
                  <w:color w:val="0000FF"/>
                  <w:sz w:val="20"/>
                  <w:u w:val="single"/>
                </w:rPr>
                <w:t>Item 2.</w:t>
              </w:r>
            </w:hyperlink>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91">
              <w:r>
                <w:rPr>
                  <w:rStyle w:val="InternetLink"/>
                  <w:rFonts w:ascii="Times New Roman;serif" w:hAnsi="Times New Roman;serif"/>
                  <w:b/>
                  <w:color w:val="0000FF"/>
                  <w:sz w:val="20"/>
                  <w:u w:val="single"/>
                </w:rPr>
                <w:t>Management’s Discussion and Analysis of Financial Condition and Results of Operations.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91">
              <w:r>
                <w:rPr>
                  <w:rStyle w:val="InternetLink"/>
                  <w:rFonts w:ascii="Times New Roman;serif" w:hAnsi="Times New Roman;serif"/>
                  <w:b w:val="false"/>
                  <w:color w:val="0000FF"/>
                  <w:sz w:val="20"/>
                  <w:u w:val="single"/>
                </w:rPr>
                <w:t>41</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27">
              <w:r>
                <w:rPr>
                  <w:rStyle w:val="InternetLink"/>
                  <w:rFonts w:ascii="Times New Roman;serif" w:hAnsi="Times New Roman;serif"/>
                  <w:b/>
                  <w:color w:val="0000FF"/>
                  <w:sz w:val="20"/>
                  <w:u w:val="single"/>
                </w:rPr>
                <w:t>Item 3.</w:t>
              </w:r>
            </w:hyperlink>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27">
              <w:r>
                <w:rPr>
                  <w:rStyle w:val="InternetLink"/>
                  <w:rFonts w:ascii="Times New Roman;serif" w:hAnsi="Times New Roman;serif"/>
                  <w:b/>
                  <w:color w:val="0000FF"/>
                  <w:sz w:val="20"/>
                  <w:u w:val="single"/>
                </w:rPr>
                <w:t>Quantitative and Qualitative Disclosures About Market Risk.</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27">
              <w:r>
                <w:rPr>
                  <w:rStyle w:val="InternetLink"/>
                  <w:rFonts w:ascii="Times New Roman;serif" w:hAnsi="Times New Roman;serif"/>
                  <w:b w:val="false"/>
                  <w:color w:val="0000FF"/>
                  <w:sz w:val="20"/>
                  <w:u w:val="single"/>
                </w:rPr>
                <w:t>66</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30">
              <w:r>
                <w:rPr>
                  <w:rStyle w:val="InternetLink"/>
                  <w:rFonts w:ascii="Times New Roman;serif" w:hAnsi="Times New Roman;serif"/>
                  <w:b/>
                  <w:color w:val="0000FF"/>
                  <w:sz w:val="20"/>
                  <w:u w:val="single"/>
                </w:rPr>
                <w:t>Item 4.</w:t>
              </w:r>
            </w:hyperlink>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30">
              <w:r>
                <w:rPr>
                  <w:rStyle w:val="InternetLink"/>
                  <w:rFonts w:ascii="Times New Roman;serif" w:hAnsi="Times New Roman;serif"/>
                  <w:b/>
                  <w:color w:val="0000FF"/>
                  <w:sz w:val="20"/>
                  <w:u w:val="single"/>
                </w:rPr>
                <w:t>Controls and Procedures.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30">
              <w:r>
                <w:rPr>
                  <w:rStyle w:val="InternetLink"/>
                  <w:rFonts w:ascii="Times New Roman;serif" w:hAnsi="Times New Roman;serif"/>
                  <w:b w:val="false"/>
                  <w:color w:val="0000FF"/>
                  <w:sz w:val="20"/>
                  <w:u w:val="single"/>
                </w:rPr>
                <w:t>68</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33">
              <w:r>
                <w:rPr>
                  <w:rStyle w:val="InternetLink"/>
                  <w:rFonts w:ascii="Times New Roman;serif" w:hAnsi="Times New Roman;serif"/>
                  <w:b/>
                  <w:color w:val="0000FF"/>
                  <w:sz w:val="20"/>
                  <w:u w:val="single"/>
                </w:rPr>
                <w:t>PART II. OTHER INFORMATION.</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36">
              <w:r>
                <w:rPr>
                  <w:rStyle w:val="InternetLink"/>
                  <w:rFonts w:ascii="Times New Roman;serif" w:hAnsi="Times New Roman;serif"/>
                  <w:b/>
                  <w:color w:val="0000FF"/>
                  <w:sz w:val="20"/>
                  <w:u w:val="single"/>
                </w:rPr>
                <w:t>Item 1.</w:t>
              </w:r>
            </w:hyperlink>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36">
              <w:r>
                <w:rPr>
                  <w:rStyle w:val="InternetLink"/>
                  <w:rFonts w:ascii="Times New Roman;serif" w:hAnsi="Times New Roman;serif"/>
                  <w:b/>
                  <w:color w:val="0000FF"/>
                  <w:sz w:val="20"/>
                  <w:u w:val="single"/>
                </w:rPr>
                <w:t>Legal Proceedings.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36">
              <w:r>
                <w:rPr>
                  <w:rStyle w:val="InternetLink"/>
                  <w:rFonts w:ascii="Times New Roman;serif" w:hAnsi="Times New Roman;serif"/>
                  <w:b w:val="false"/>
                  <w:color w:val="0000FF"/>
                  <w:sz w:val="20"/>
                  <w:u w:val="single"/>
                </w:rPr>
                <w:t>69</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39">
              <w:r>
                <w:rPr>
                  <w:rStyle w:val="InternetLink"/>
                  <w:rFonts w:ascii="Times New Roman;serif" w:hAnsi="Times New Roman;serif"/>
                  <w:b/>
                  <w:color w:val="0000FF"/>
                  <w:sz w:val="20"/>
                  <w:u w:val="single"/>
                </w:rPr>
                <w:t>Item 1A.</w:t>
              </w:r>
            </w:hyperlink>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39">
              <w:r>
                <w:rPr>
                  <w:rStyle w:val="InternetLink"/>
                  <w:rFonts w:ascii="Times New Roman;serif" w:hAnsi="Times New Roman;serif"/>
                  <w:b/>
                  <w:color w:val="0000FF"/>
                  <w:sz w:val="20"/>
                  <w:u w:val="single"/>
                </w:rPr>
                <w:t>Risk Factors.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39">
              <w:r>
                <w:rPr>
                  <w:rStyle w:val="InternetLink"/>
                  <w:rFonts w:ascii="Times New Roman;serif" w:hAnsi="Times New Roman;serif"/>
                  <w:b w:val="false"/>
                  <w:color w:val="0000FF"/>
                  <w:sz w:val="20"/>
                  <w:u w:val="single"/>
                </w:rPr>
                <w:t>69</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42">
              <w:r>
                <w:rPr>
                  <w:rStyle w:val="InternetLink"/>
                  <w:rFonts w:ascii="Times New Roman;serif" w:hAnsi="Times New Roman;serif"/>
                  <w:b/>
                  <w:color w:val="0000FF"/>
                  <w:sz w:val="20"/>
                  <w:u w:val="single"/>
                </w:rPr>
                <w:t>Item 2.</w:t>
              </w:r>
            </w:hyperlink>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42">
              <w:r>
                <w:rPr>
                  <w:rStyle w:val="InternetLink"/>
                  <w:rFonts w:ascii="Times New Roman;serif" w:hAnsi="Times New Roman;serif"/>
                  <w:b/>
                  <w:color w:val="0000FF"/>
                  <w:sz w:val="20"/>
                  <w:u w:val="single"/>
                </w:rPr>
                <w:t>Unregistered Sales of Equity Securities and Use of Proceeds.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42">
              <w:r>
                <w:rPr>
                  <w:rStyle w:val="InternetLink"/>
                  <w:rFonts w:ascii="Times New Roman;serif" w:hAnsi="Times New Roman;serif"/>
                  <w:b w:val="false"/>
                  <w:color w:val="0000FF"/>
                  <w:sz w:val="20"/>
                  <w:u w:val="single"/>
                </w:rPr>
                <w:t>70</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45">
              <w:r>
                <w:rPr>
                  <w:rStyle w:val="InternetLink"/>
                  <w:rFonts w:ascii="Times New Roman;serif" w:hAnsi="Times New Roman;serif"/>
                  <w:b/>
                  <w:color w:val="0000FF"/>
                  <w:sz w:val="20"/>
                  <w:u w:val="single"/>
                </w:rPr>
                <w:t>Item 3.</w:t>
              </w:r>
            </w:hyperlink>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45">
              <w:r>
                <w:rPr>
                  <w:rStyle w:val="InternetLink"/>
                  <w:rFonts w:ascii="Times New Roman;serif" w:hAnsi="Times New Roman;serif"/>
                  <w:b/>
                  <w:color w:val="0000FF"/>
                  <w:sz w:val="20"/>
                  <w:u w:val="single"/>
                </w:rPr>
                <w:t>Defaults Upon Senior Securities.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45">
              <w:r>
                <w:rPr>
                  <w:rStyle w:val="InternetLink"/>
                  <w:rFonts w:ascii="Times New Roman;serif" w:hAnsi="Times New Roman;serif"/>
                  <w:b w:val="false"/>
                  <w:color w:val="0000FF"/>
                  <w:sz w:val="20"/>
                  <w:u w:val="single"/>
                </w:rPr>
                <w:t>71</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48">
              <w:r>
                <w:rPr>
                  <w:rStyle w:val="InternetLink"/>
                  <w:rFonts w:ascii="Times New Roman;serif" w:hAnsi="Times New Roman;serif"/>
                  <w:b/>
                  <w:color w:val="0000FF"/>
                  <w:sz w:val="20"/>
                  <w:u w:val="single"/>
                </w:rPr>
                <w:t>Item 4.</w:t>
              </w:r>
            </w:hyperlink>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48">
              <w:r>
                <w:rPr>
                  <w:rStyle w:val="InternetLink"/>
                  <w:rFonts w:ascii="Times New Roman;serif" w:hAnsi="Times New Roman;serif"/>
                  <w:b/>
                  <w:color w:val="0000FF"/>
                  <w:sz w:val="20"/>
                  <w:u w:val="single"/>
                </w:rPr>
                <w:t>Mine Safety Disclosures.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48">
              <w:r>
                <w:rPr>
                  <w:rStyle w:val="InternetLink"/>
                  <w:rFonts w:ascii="Times New Roman;serif" w:hAnsi="Times New Roman;serif"/>
                  <w:b w:val="false"/>
                  <w:color w:val="0000FF"/>
                  <w:sz w:val="20"/>
                  <w:u w:val="single"/>
                </w:rPr>
                <w:t>71</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51">
              <w:r>
                <w:rPr>
                  <w:rStyle w:val="InternetLink"/>
                  <w:rFonts w:ascii="Times New Roman;serif" w:hAnsi="Times New Roman;serif"/>
                  <w:b/>
                  <w:color w:val="0000FF"/>
                  <w:sz w:val="20"/>
                  <w:u w:val="single"/>
                </w:rPr>
                <w:t>Item 5.</w:t>
              </w:r>
            </w:hyperlink>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51">
              <w:r>
                <w:rPr>
                  <w:rStyle w:val="InternetLink"/>
                  <w:rFonts w:ascii="Times New Roman;serif" w:hAnsi="Times New Roman;serif"/>
                  <w:b/>
                  <w:color w:val="0000FF"/>
                  <w:sz w:val="20"/>
                  <w:u w:val="single"/>
                </w:rPr>
                <w:t>Other Information.</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51">
              <w:r>
                <w:rPr>
                  <w:rStyle w:val="InternetLink"/>
                  <w:rFonts w:ascii="Times New Roman;serif" w:hAnsi="Times New Roman;serif"/>
                  <w:b w:val="false"/>
                  <w:color w:val="0000FF"/>
                  <w:sz w:val="20"/>
                  <w:u w:val="single"/>
                </w:rPr>
                <w:t>71</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54">
              <w:r>
                <w:rPr>
                  <w:rStyle w:val="InternetLink"/>
                  <w:rFonts w:ascii="Times New Roman;serif" w:hAnsi="Times New Roman;serif"/>
                  <w:b/>
                  <w:color w:val="0000FF"/>
                  <w:sz w:val="20"/>
                  <w:u w:val="single"/>
                </w:rPr>
                <w:t>Item 6.</w:t>
              </w:r>
            </w:hyperlink>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54">
              <w:r>
                <w:rPr>
                  <w:rStyle w:val="InternetLink"/>
                  <w:rFonts w:ascii="Times New Roman;serif" w:hAnsi="Times New Roman;serif"/>
                  <w:b/>
                  <w:color w:val="0000FF"/>
                  <w:sz w:val="20"/>
                  <w:u w:val="single"/>
                </w:rPr>
                <w:t>Exhibits.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54">
              <w:r>
                <w:rPr>
                  <w:rStyle w:val="InternetLink"/>
                  <w:rFonts w:ascii="Times New Roman;serif" w:hAnsi="Times New Roman;serif"/>
                  <w:b w:val="false"/>
                  <w:color w:val="0000FF"/>
                  <w:sz w:val="20"/>
                  <w:u w:val="single"/>
                </w:rPr>
                <w:t>71</w:t>
              </w:r>
            </w:hyperlink>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6895d5a77e7549d8b70720fa7189d937_157">
              <w:r>
                <w:rPr>
                  <w:rStyle w:val="InternetLink"/>
                  <w:rFonts w:ascii="Times New Roman;serif" w:hAnsi="Times New Roman;serif"/>
                  <w:b/>
                  <w:color w:val="0000FF"/>
                  <w:sz w:val="20"/>
                  <w:u w:val="single"/>
                </w:rPr>
                <w:t>Signatures</w:t>
              </w:r>
            </w:hyperlink>
          </w:p>
        </w:tc>
        <w:tc>
          <w:tcPr>
            <w:tcW w:w="17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95d5a77e7549d8b70720fa7189d937_157">
              <w:r>
                <w:rPr>
                  <w:rStyle w:val="InternetLink"/>
                  <w:rFonts w:ascii="Times New Roman;serif" w:hAnsi="Times New Roman;serif"/>
                  <w:b w:val="false"/>
                  <w:color w:val="0000FF"/>
                  <w:sz w:val="20"/>
                  <w:u w:val="single"/>
                </w:rPr>
                <w:t>78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160"/>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CONDENSED CONSOLIDATED BALANCE SHEETS</w:t>
      </w:r>
    </w:p>
    <w:p>
      <w:pPr>
        <w:pStyle w:val="TextBody"/>
        <w:bidi w:val="0"/>
        <w:spacing w:lineRule="auto" w:line="288" w:before="0" w:after="1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(Dollars in millions)</w:t>
      </w:r>
    </w:p>
    <w:tbl>
      <w:tblPr>
        <w:tblW w:w="10205" w:type="dxa"/>
        <w:jc w:val="left"/>
        <w:tblInd w:w="0" w:type="dxa"/>
        <w:tblLayout w:type="fixed"/>
        <w:tblCellMar>
          <w:top w:w="28" w:type="dxa"/>
          <w:left w:w="28" w:type="dxa"/>
          <w:bottom w:w="28" w:type="dxa"/>
          <w:right w:w="28" w:type="dxa"/>
        </w:tblCellMar>
      </w:tblPr>
      <w:tblGrid>
        <w:gridCol w:w="2951"/>
        <w:gridCol w:w="2311"/>
        <w:gridCol w:w="2330"/>
        <w:gridCol w:w="196"/>
        <w:gridCol w:w="646"/>
        <w:gridCol w:w="109"/>
        <w:gridCol w:w="109"/>
        <w:gridCol w:w="109"/>
        <w:gridCol w:w="109"/>
        <w:gridCol w:w="196"/>
        <w:gridCol w:w="646"/>
        <w:gridCol w:w="493"/>
      </w:tblGrid>
      <w:tr>
        <w:trPr/>
        <w:tc>
          <w:tcPr>
            <w:tcW w:w="295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7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9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62" w:type="dxa"/>
            <w:gridSpan w:val="6"/>
            <w:tcBorders/>
          </w:tcPr>
          <w:p>
            <w:pPr>
              <w:pStyle w:val="TableContents"/>
              <w:bidi w:val="0"/>
              <w:spacing w:before="0" w:after="283"/>
              <w:jc w:val="left"/>
              <w:rPr>
                <w:sz w:val="4"/>
                <w:szCs w:val="4"/>
              </w:rPr>
            </w:pPr>
            <w:r>
              <w:rPr>
                <w:sz w:val="4"/>
                <w:szCs w:val="4"/>
              </w:rPr>
            </w:r>
          </w:p>
        </w:tc>
      </w:tr>
      <w:tr>
        <w:trPr/>
        <w:tc>
          <w:tcPr>
            <w:tcW w:w="759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75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9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Accounts receivable – trade, net of allowance for credit losses of $36 at June 30, 2026 and $35 at December 31, 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6,494 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 related 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 (see Note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3,884 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assets (see Note 13)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1,302 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15,905 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13,360 </w:t>
            </w:r>
          </w:p>
        </w:tc>
        <w:tc>
          <w:tcPr>
            <w:tcW w:w="493"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Property, plant and equipment, net </w:t>
            </w:r>
            <w:r>
              <w:rPr>
                <w:rFonts w:ascii="Times New Roman;serif" w:hAnsi="Times New Roman;serif"/>
                <w:b w:val="false"/>
                <w:color w:val="000000"/>
                <w:sz w:val="16"/>
              </w:rPr>
              <w:t>(see Note 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51,359 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Investments in unconsolidated affiliates </w:t>
            </w:r>
            <w:r>
              <w:rPr>
                <w:rFonts w:ascii="Times New Roman;serif" w:hAnsi="Times New Roman;serif"/>
                <w:b w:val="false"/>
                <w:color w:val="000000"/>
                <w:sz w:val="16"/>
              </w:rPr>
              <w:t>(see Note 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2,185 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Intangible assets, net </w:t>
            </w:r>
            <w:r>
              <w:rPr>
                <w:rFonts w:ascii="Times New Roman;serif" w:hAnsi="Times New Roman;serif"/>
                <w:b w:val="false"/>
                <w:color w:val="000000"/>
                <w:sz w:val="16"/>
              </w:rPr>
              <w:t>(see Note 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4,159 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Goodwill </w:t>
            </w:r>
            <w:r>
              <w:rPr>
                <w:rFonts w:ascii="Times New Roman;serif" w:hAnsi="Times New Roman;serif"/>
                <w:b w:val="false"/>
                <w:color w:val="000000"/>
                <w:sz w:val="16"/>
              </w:rPr>
              <w:t>(see Note 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5,712 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Operating lease right-of-use assets, net </w:t>
            </w:r>
            <w:r>
              <w:rPr>
                <w:rFonts w:ascii="Times New Roman;serif" w:hAnsi="Times New Roman;serif"/>
                <w:b w:val="false"/>
                <w:color w:val="000000"/>
                <w:sz w:val="16"/>
              </w:rPr>
              <w:t>(see Note 16)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81,758 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77,902 </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LIABILITIES AND EQUITY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debt (see Note 7)</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 trade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1,021 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 related parties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product payables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8,183 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liabilities (see Note 13)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 (see Note 16)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779 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12,832 </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Long-term debt </w:t>
            </w:r>
            <w:r>
              <w:rPr>
                <w:rFonts w:ascii="Times New Roman;serif" w:hAnsi="Times New Roman;serif"/>
                <w:b w:val="false"/>
                <w:color w:val="000000"/>
                <w:sz w:val="16"/>
              </w:rPr>
              <w:t>(see Note 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32,770 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Deferred tax liabilities </w:t>
            </w:r>
            <w:r>
              <w:rPr>
                <w:rFonts w:ascii="Times New Roman;serif" w:hAnsi="Times New Roman;serif"/>
                <w:b w:val="false"/>
                <w:color w:val="000000"/>
                <w:sz w:val="16"/>
              </w:rPr>
              <w:t>(see Note 15)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Long-term operating lease liabilities </w:t>
            </w:r>
            <w:r>
              <w:rPr>
                <w:rFonts w:ascii="Times New Roman;serif" w:hAnsi="Times New Roman;serif"/>
                <w:b w:val="false"/>
                <w:color w:val="000000"/>
                <w:sz w:val="16"/>
              </w:rPr>
              <w:t>(see Note 16)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long-term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Commitments and contingent liabilities </w:t>
            </w:r>
            <w:r>
              <w:rPr>
                <w:rFonts w:ascii="Times New Roman;serif" w:hAnsi="Times New Roman;serif"/>
                <w:b w:val="false"/>
                <w:color w:val="000000"/>
                <w:sz w:val="16"/>
              </w:rPr>
              <w:t>(see Note 16)</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Redeemable preferred limited partner interests: </w:t>
            </w:r>
            <w:r>
              <w:rPr>
                <w:rFonts w:ascii="Times New Roman;serif" w:hAnsi="Times New Roman;serif"/>
                <w:b w:val="false"/>
                <w:color w:val="000000"/>
                <w:sz w:val="16"/>
              </w:rPr>
              <w:t>(see Note 8)</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Series A cumulative convertible preferred units (“preferred units”) (45,412 units outstanding at June 30, 2026 and December 31, 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Equity: </w:t>
            </w:r>
            <w:r>
              <w:rPr>
                <w:rFonts w:ascii="Times New Roman;serif" w:hAnsi="Times New Roman;serif"/>
                <w:b w:val="false"/>
                <w:color w:val="000000"/>
                <w:sz w:val="16"/>
              </w:rPr>
              <w:t>(see Note 8)</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Partners’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Common limited partner interests (2,159,477,169 units issued and outstanding at June 30, 2026, 2,161,760,683 units issued and outstanding at December 31, 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30,700 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units, at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partners’ equity</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30,248 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29,739 </w:t>
            </w:r>
          </w:p>
        </w:tc>
        <w:tc>
          <w:tcPr>
            <w:tcW w:w="493"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in consolidated subsidiaries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831 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31,064 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30,570 </w:t>
            </w:r>
          </w:p>
        </w:tc>
        <w:tc>
          <w:tcPr>
            <w:tcW w:w="493"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preferred units, and equity</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81,758 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77,902 </w:t>
            </w:r>
          </w:p>
        </w:tc>
        <w:tc>
          <w:tcPr>
            <w:tcW w:w="49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80"/>
        <w:jc w:val="center"/>
        <w:rPr/>
      </w:pPr>
      <w:r>
        <w:rPr/>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CONDENSED STATEMENTS OF CONSOLIDATED OPERATIONS</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(Dollars in millions, except per unit amounts)</w:t>
      </w:r>
    </w:p>
    <w:tbl>
      <w:tblPr>
        <w:tblW w:w="8812" w:type="dxa"/>
        <w:jc w:val="left"/>
        <w:tblInd w:w="0" w:type="dxa"/>
        <w:tblLayout w:type="fixed"/>
        <w:tblCellMar>
          <w:top w:w="28" w:type="dxa"/>
          <w:left w:w="28" w:type="dxa"/>
          <w:bottom w:w="28" w:type="dxa"/>
          <w:right w:w="28" w:type="dxa"/>
        </w:tblCellMar>
      </w:tblPr>
      <w:tblGrid>
        <w:gridCol w:w="1366"/>
        <w:gridCol w:w="1196"/>
        <w:gridCol w:w="1202"/>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 (see Note 9)</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18,269 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32,655 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26,780 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and other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 and expenses</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16,065 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9,592 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28,568 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23,282 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costs:</w:t>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and other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general and administrative costs</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 (see Note 10)</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9,660 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28,696 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23,410 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Equity in income of unconsolidated affiliates</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 (see Note 15)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preferred units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attributable to common unitholders</w:t>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1,840 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3,322 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 xml:space="preserve">Earnings per unit: </w:t>
            </w:r>
            <w:r>
              <w:rPr>
                <w:rFonts w:ascii="Times New Roman;serif" w:hAnsi="Times New Roman;serif"/>
                <w:b w:val="false"/>
                <w:color w:val="000000"/>
                <w:sz w:val="18"/>
              </w:rPr>
              <w:t>(see Note 11)</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earnings per common unit</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CONDENSED STATEMENTS OF CONSOLIDATED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COMPREHENSIVE INCOME</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(Dollars in millions)</w:t>
      </w:r>
    </w:p>
    <w:tbl>
      <w:tblPr>
        <w:tblW w:w="9383" w:type="dxa"/>
        <w:jc w:val="left"/>
        <w:tblInd w:w="0" w:type="dxa"/>
        <w:tblLayout w:type="fixed"/>
        <w:tblCellMar>
          <w:top w:w="28" w:type="dxa"/>
          <w:left w:w="28" w:type="dxa"/>
          <w:bottom w:w="28" w:type="dxa"/>
          <w:right w:w="28" w:type="dxa"/>
        </w:tblCellMar>
      </w:tblPr>
      <w:tblGrid>
        <w:gridCol w:w="1695"/>
        <w:gridCol w:w="1489"/>
        <w:gridCol w:w="1511"/>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hedges: (see Note 13)</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hedging derivative instruments: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cash flow hedges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losses (gains) to 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hedging derivative instruments: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cash flow hedges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gains to net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flow hedges</w:t>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2,045 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3,190 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2,860 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preferred units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 attributable to common unitholders</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1,386 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2,828 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CONDENSED STATEMENTS OF CONSOLIDATED CASH FLOWS</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(Dollars in millions)</w:t>
      </w:r>
    </w:p>
    <w:tbl>
      <w:tblPr>
        <w:tblW w:w="8552" w:type="dxa"/>
        <w:jc w:val="left"/>
        <w:tblInd w:w="0" w:type="dxa"/>
        <w:tblLayout w:type="fixed"/>
        <w:tblCellMar>
          <w:top w:w="28" w:type="dxa"/>
          <w:left w:w="28" w:type="dxa"/>
          <w:bottom w:w="28" w:type="dxa"/>
          <w:right w:w="28" w:type="dxa"/>
        </w:tblCellMar>
      </w:tblPr>
      <w:tblGrid>
        <w:gridCol w:w="2257"/>
        <w:gridCol w:w="1988"/>
        <w:gridCol w:w="1995"/>
        <w:gridCol w:w="196"/>
        <w:gridCol w:w="556"/>
        <w:gridCol w:w="109"/>
        <w:gridCol w:w="109"/>
        <w:gridCol w:w="109"/>
        <w:gridCol w:w="109"/>
        <w:gridCol w:w="196"/>
        <w:gridCol w:w="556"/>
        <w:gridCol w:w="109"/>
        <w:gridCol w:w="109"/>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net income to net cash flow provided by operating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major maintenance costs for reaction-based plants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finance lease right-of-use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amortization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other than goodwill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received from unconsolidated affiliates attributable to earnings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attributable to asset sales and related matters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market value of derivative instruments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expense related to long-term operating leases (see Note 16)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effect of changes in operating accounts (see Note 17)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 provided by operating activities</w:t>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received from unconsolidated affiliates attributable to the return of capital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asset sales and other matters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 used in investing activities</w:t>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(1,535)</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(2,321)</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debt agreements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Monetization of interest rate derivative instruments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distributions paid to common unitholders (see Note 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made in connection with distribution equivalent rights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distributions paid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contributions from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units under 2019 Buyback Program</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 used in financing activities</w:t>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(4,015)</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(1,796)</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 including restricted cash</w:t>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including restricted cash, at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including restricted cash, at end of period</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CONDENSED STATEMENTS OF CONSOLIDATED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(Dollars in millions)</w:t>
      </w:r>
    </w:p>
    <w:tbl>
      <w:tblPr>
        <w:tblW w:w="10205" w:type="dxa"/>
        <w:jc w:val="left"/>
        <w:tblInd w:w="0" w:type="dxa"/>
        <w:tblLayout w:type="fixed"/>
        <w:tblCellMar>
          <w:top w:w="28" w:type="dxa"/>
          <w:left w:w="28" w:type="dxa"/>
          <w:bottom w:w="28" w:type="dxa"/>
          <w:right w:w="28" w:type="dxa"/>
        </w:tblCellMar>
      </w:tblPr>
      <w:tblGrid>
        <w:gridCol w:w="1424"/>
        <w:gridCol w:w="1094"/>
        <w:gridCol w:w="1103"/>
        <w:gridCol w:w="196"/>
        <w:gridCol w:w="646"/>
        <w:gridCol w:w="109"/>
        <w:gridCol w:w="109"/>
        <w:gridCol w:w="109"/>
        <w:gridCol w:w="109"/>
        <w:gridCol w:w="196"/>
        <w:gridCol w:w="605"/>
        <w:gridCol w:w="109"/>
        <w:gridCol w:w="109"/>
        <w:gridCol w:w="109"/>
        <w:gridCol w:w="109"/>
        <w:gridCol w:w="328"/>
        <w:gridCol w:w="705"/>
        <w:gridCol w:w="183"/>
        <w:gridCol w:w="109"/>
        <w:gridCol w:w="109"/>
        <w:gridCol w:w="109"/>
        <w:gridCol w:w="324"/>
        <w:gridCol w:w="696"/>
        <w:gridCol w:w="181"/>
        <w:gridCol w:w="109"/>
        <w:gridCol w:w="109"/>
        <w:gridCol w:w="109"/>
        <w:gridCol w:w="196"/>
        <w:gridCol w:w="646"/>
        <w:gridCol w:w="156"/>
      </w:tblGrid>
      <w:tr>
        <w:trPr/>
        <w:tc>
          <w:tcPr>
            <w:tcW w:w="142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Partners’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Limited</w:t>
              <w:br/>
              <w:t>Partner</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 in</w:t>
              <w:br/>
              <w:t>Consolidated</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30,838 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8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8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30,347 </w:t>
            </w:r>
          </w:p>
        </w:tc>
        <w:tc>
          <w:tcPr>
            <w:tcW w:w="1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paid to common unitholders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made in connection with distribution equivalent rights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paid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contributions from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cancellation of common units under 2019 Buyback Program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fair value of equity-based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31,371 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8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816 </w:t>
            </w:r>
          </w:p>
        </w:tc>
        <w:tc>
          <w:tcPr>
            <w:tcW w:w="18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31,064 </w:t>
            </w:r>
          </w:p>
        </w:tc>
        <w:tc>
          <w:tcPr>
            <w:tcW w:w="1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Partners’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Limited</w:t>
              <w:br/>
              <w:t>Partner</w:t>
              <w:br/>
              <w:t>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w:t>
              <w:b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 in</w:t>
              <w:br/>
              <w:t>Consolidated</w:t>
              <w:br/>
              <w:t>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30,700 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8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831 </w:t>
            </w:r>
          </w:p>
        </w:tc>
        <w:tc>
          <w:tcPr>
            <w:tcW w:w="18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30,570 </w:t>
            </w:r>
          </w:p>
        </w:tc>
        <w:tc>
          <w:tcPr>
            <w:tcW w:w="1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paid to common unitholders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made in connection with distribution equivalent rights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paid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contributions from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cancellation of common units under 2019 Buyback Program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fair value of equity-based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31,371 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8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816 </w:t>
            </w:r>
          </w:p>
        </w:tc>
        <w:tc>
          <w:tcPr>
            <w:tcW w:w="18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31,064 </w:t>
            </w:r>
          </w:p>
        </w:tc>
        <w:tc>
          <w:tcPr>
            <w:tcW w:w="1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Notes to Unaudited Condensed Consolidated Financial Statements. For information regarding Unit History,</w:t>
      </w:r>
    </w:p>
    <w:p>
      <w:pPr>
        <w:pStyle w:val="TextBody"/>
        <w:bidi w:val="0"/>
        <w:spacing w:lineRule="auto" w:line="288" w:before="0" w:after="0"/>
        <w:jc w:val="center"/>
        <w:rPr/>
      </w:pPr>
      <w:r>
        <w:rPr>
          <w:rFonts w:ascii="Times New Roman;serif" w:hAnsi="Times New Roman;serif"/>
          <w:b w:val="false"/>
          <w:color w:val="000000"/>
          <w:sz w:val="20"/>
          <w:shd w:fill="FFFFFF" w:val="clear"/>
        </w:rPr>
        <w:t xml:space="preserve">Accumulated Other Comprehensive Income (Loss), see </w:t>
      </w:r>
      <w:r>
        <w:rPr>
          <w:rFonts w:ascii="Times New Roman;serif" w:hAnsi="Times New Roman;serif"/>
          <w:b w:val="false"/>
          <w:color w:val="000000"/>
          <w:sz w:val="20"/>
        </w:rPr>
        <w:t>Note 8</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CONDENSED STATEMENTS OF CONSOLIDATED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2025</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(Dollars in millions)</w:t>
      </w:r>
    </w:p>
    <w:tbl>
      <w:tblPr>
        <w:tblW w:w="10205" w:type="dxa"/>
        <w:jc w:val="center"/>
        <w:tblInd w:w="0" w:type="dxa"/>
        <w:tblLayout w:type="fixed"/>
        <w:tblCellMar>
          <w:top w:w="28" w:type="dxa"/>
          <w:left w:w="28" w:type="dxa"/>
          <w:bottom w:w="28" w:type="dxa"/>
          <w:right w:w="28" w:type="dxa"/>
        </w:tblCellMar>
      </w:tblPr>
      <w:tblGrid>
        <w:gridCol w:w="1424"/>
        <w:gridCol w:w="1094"/>
        <w:gridCol w:w="1103"/>
        <w:gridCol w:w="196"/>
        <w:gridCol w:w="646"/>
        <w:gridCol w:w="109"/>
        <w:gridCol w:w="109"/>
        <w:gridCol w:w="109"/>
        <w:gridCol w:w="109"/>
        <w:gridCol w:w="196"/>
        <w:gridCol w:w="605"/>
        <w:gridCol w:w="109"/>
        <w:gridCol w:w="109"/>
        <w:gridCol w:w="109"/>
        <w:gridCol w:w="109"/>
        <w:gridCol w:w="328"/>
        <w:gridCol w:w="705"/>
        <w:gridCol w:w="183"/>
        <w:gridCol w:w="109"/>
        <w:gridCol w:w="109"/>
        <w:gridCol w:w="109"/>
        <w:gridCol w:w="324"/>
        <w:gridCol w:w="696"/>
        <w:gridCol w:w="181"/>
        <w:gridCol w:w="109"/>
        <w:gridCol w:w="109"/>
        <w:gridCol w:w="109"/>
        <w:gridCol w:w="196"/>
        <w:gridCol w:w="646"/>
        <w:gridCol w:w="156"/>
      </w:tblGrid>
      <w:tr>
        <w:trPr/>
        <w:tc>
          <w:tcPr>
            <w:tcW w:w="142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Partners’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Limited</w:t>
              <w:br/>
              <w:t> Partner</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 in</w:t>
              <w:br/>
              <w:t>Consolidated</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29,927 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8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860 </w:t>
            </w:r>
          </w:p>
        </w:tc>
        <w:tc>
          <w:tcPr>
            <w:tcW w:w="18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29,775 </w:t>
            </w:r>
          </w:p>
        </w:tc>
        <w:tc>
          <w:tcPr>
            <w:tcW w:w="1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paid to common unitholders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made in connection with distribution equivalent rights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paid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contributions from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cancellation of common units under 2019 Buyback Program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fair value of equity-based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30,127 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8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18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29,919 </w:t>
            </w:r>
          </w:p>
        </w:tc>
        <w:tc>
          <w:tcPr>
            <w:tcW w:w="1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Partners’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Limited</w:t>
              <w:br/>
              <w:t> Partner</w:t>
              <w:br/>
              <w:t>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w:t>
              <w:b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 in</w:t>
              <w:br/>
              <w:t>Consolidated</w:t>
              <w:br/>
              <w:t>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29,793 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8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857 </w:t>
            </w:r>
          </w:p>
        </w:tc>
        <w:tc>
          <w:tcPr>
            <w:tcW w:w="18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29,589 </w:t>
            </w:r>
          </w:p>
        </w:tc>
        <w:tc>
          <w:tcPr>
            <w:tcW w:w="1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paid to common unitholders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made in connection with distribution equivalent rights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paid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contributions from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cancellation of common units under 2019 Buyback Program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fair value of equity-based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30,127 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8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18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29,919 </w:t>
            </w:r>
          </w:p>
        </w:tc>
        <w:tc>
          <w:tcPr>
            <w:tcW w:w="1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Notes to Unaudited Condensed Consolidated Financial Statements. For information regarding Unit History,</w:t>
      </w:r>
    </w:p>
    <w:p>
      <w:pPr>
        <w:pStyle w:val="TextBody"/>
        <w:bidi w:val="0"/>
        <w:spacing w:lineRule="auto" w:line="288" w:before="0" w:after="0"/>
        <w:jc w:val="center"/>
        <w:rPr/>
      </w:pPr>
      <w:r>
        <w:rPr>
          <w:rFonts w:ascii="Times New Roman;serif" w:hAnsi="Times New Roman;serif"/>
          <w:b w:val="false"/>
          <w:color w:val="000000"/>
          <w:sz w:val="20"/>
          <w:shd w:fill="FFFFFF" w:val="clear"/>
        </w:rPr>
        <w:t xml:space="preserve">Accumulated Other Comprehensive Income (Loss), see </w:t>
      </w:r>
      <w:r>
        <w:rPr>
          <w:rFonts w:ascii="Times New Roman;serif" w:hAnsi="Times New Roman;serif"/>
          <w:b w:val="false"/>
          <w:color w:val="000000"/>
          <w:sz w:val="20"/>
        </w:rPr>
        <w:t>Note 8</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KEY REFERENCES USED IN THESE</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the context requires otherwise, references to “we,” “us” or “our” within these Notes to Unaudited Condensed Consolidated Financial Statements are intended to mean the business and operations of Enterprise Products Partners L.P. and its consolidated subsidiaries. </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References to the “Partnership” or “Enterprise” mean Enterprise Products Partners L.P. on a standalone basis.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References to “EPO” mean Enterprise Products Operating LLC, which is an indirect wholly owned subsidiary of the Partnership, and its consolidated subsidiaries, through which the Partnership conducts its business. We are managed by our general partner, Enterprise Products Holdings LLC (“Enterprise GP”), which is a wholly owned subsidiary of Dan Duncan LLC, a privately held Texas limited liability company.</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membership interests of Dan Duncan LLC are owned by a voting trust, the current trustees (“DD LLC Trustees”) of which are: (i) Randa Duncan Williams, who is also a director and Chairman of the Board of Directors of Enterprise GP (the “Board”); (ii) Richard H. Bachmann, who is also a director and Vice Chairman of the Board; and (iii) W. Randall Fowler, who is also a director and a Co-Chief Executive Officer of Enterprise GP. Ms. Duncan Williams and Messrs. Bachmann and Fowler also currently serve as managers of Dan Duncan LLC.</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References to “EPCO” mean Enterprise Products Company, a privately held Texas corporation, and its privately held affiliates. The outstanding voting capital stock of EPCO is owned by a voting trust, the current trustees (“EPCO Trustees”) of which are: (i) Ms. Duncan Williams, who serves as Chairman of EPCO; (ii) Mr. Bachmann, who serves as the President and Chief Executive Officer of EPCO; and (iii) Mr. Fowler, who serves as an Executive Vice President and the Chief Financial Officer of EPCO. Ms. Duncan Williams and Messrs. Bachmann and Fowler also currently serve as directors of EPCO.</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We, Enterprise GP, EPCO and Dan Duncan LLC are affiliates under the collective common control of the DD LLC Trustees and the EPCO Trustees. EPCO, together with its privately held affiliates, owned approximately </w:t>
      </w:r>
      <w:r>
        <w:rPr>
          <w:rFonts w:ascii="Times New Roman;serif" w:hAnsi="Times New Roman;serif"/>
          <w:b w:val="false"/>
          <w:color w:val="000000"/>
          <w:sz w:val="20"/>
        </w:rPr>
        <w:t>32.5%</w:t>
      </w:r>
      <w:r>
        <w:rPr>
          <w:color w:val="000000"/>
          <w:shd w:fill="FFFFFF" w:val="clear"/>
        </w:rPr>
        <w:t xml:space="preserve"> </w:t>
      </w:r>
      <w:r>
        <w:rPr>
          <w:rFonts w:ascii="Times New Roman;serif" w:hAnsi="Times New Roman;serif"/>
          <w:b w:val="false"/>
          <w:color w:val="000000"/>
          <w:sz w:val="20"/>
          <w:shd w:fill="FFFFFF" w:val="clear"/>
        </w:rPr>
        <w:t xml:space="preserve">of the Partnership’s common units outstanding at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With the exception of per unit amounts, or as noted within the context of each disclosure,</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dollar amounts presented in the tabular data within these disclosures are</w:t>
      </w:r>
    </w:p>
    <w:p>
      <w:pPr>
        <w:pStyle w:val="TextBody"/>
        <w:bidi w:val="0"/>
        <w:spacing w:lineRule="auto" w:line="288" w:before="0" w:after="24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stated in millions of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Partnership Organization and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a publicly traded Delaware limited partnership, the common units of which are listed on the New York Stock Exchange (“NYSE”) under the ticker symbol “EPD.” Our preferred units are not publicly traded. We were formed in April 1998 to own and operate certain natural gas liquids (“NGLs”) related businesses of EPCO and are a leading North American provider of midstream energy services to producers and consumers of natural gas, NGLs, crude oil, petrochemicals and refined products. We are owned by our limited partners (preferred and common unitholders) from an economic perspective. Enterprise GP, which owns a non-economic general partner interest in us, manages our Partnership. We conduct substantially all of our business operations through EPO and its consolidated subsidiaries.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fully integrated, midstream energy asset network (or “value chain”) links producers of natural gas, NGLs and crude oil from some of the largest supply basins in the United States (“U.S.”), Canada and the Gulf of Mexico with domestic consumers and international markets. Our midstream energy operations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natural gas gathering, treating, processing, transportation and storage;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NGL transportation, fractionation, storage, and marine terminals (including those used to export liquefied petroleum gases (“LPG”) and ethane);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crude oil gathering, transportation, storage, and marine terminals;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propylene production facilities (including propane dehydrogenation (“PDH”) facilities), butane isomerization, octane enhancement, isobutane dehydrogenation (“iBDH”) and high purity isobutylene (“HPIB”) production facilities;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petrochemical and refined products transportation, storage, and marine terminals (including those used to export ethylene and polymer grade propylene (“PGP”));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 marine transportation business that operates on key U.S. inland and intracoastal waterway systems.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Like many publicly traded partnerships, we have no employees. All of our management, administrative and operating functions are performed by employees of EPCO pursuant to an administrative services agreement (the “ASA”) or by other service providers. See Note 14 for information regarding related party matters.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results of operations for the six months ended June 30, 2026 are not necessarily indicative of results expected for the full year of 2026. In our opinion, the accompanying Unaudited Condensed Consolidated Financial Statements include all adjustments consisting of normal recurring accruals necessary for fair presentation. Although we believe the disclosures in these financial statements are adequate and make the information presented not misleading, certain information and footnote disclosures normally included in annual financial statements prepared in accordance with U.S. generally accepted accounting principles (“GAAP”) have been condensed or omitted pursuant to the rules and regulations of the U.S. Securities and Exchange Commission (“SEC”).</w:t>
      </w:r>
    </w:p>
    <w:p>
      <w:pPr>
        <w:pStyle w:val="TextBody"/>
        <w:bidi w:val="0"/>
        <w:spacing w:lineRule="auto" w:line="288" w:before="0" w:after="48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and Notes thereto should be read in conjunction with the Audited Consolidated Financial Statements and Notes thereto included in our annual report on Form 10-K for the year ended December 31, 2025 (the “2025 Form 10-K”) filed with the SEC on 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Apart from those matters described in this footnote, there have been no updates to our significant accounting policies since those reported under Note 2 of the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reported within the Unaudited Condensed Consolidated Balance Sheets that sum to the total of the amounts shown in the Unaudited Condensed Statements of Consolidated Cash Flows.</w:t>
      </w:r>
    </w:p>
    <w:tbl>
      <w:tblPr>
        <w:tblW w:w="10205" w:type="dxa"/>
        <w:jc w:val="left"/>
        <w:tblInd w:w="0" w:type="dxa"/>
        <w:tblLayout w:type="fixed"/>
        <w:tblCellMar>
          <w:top w:w="28" w:type="dxa"/>
          <w:left w:w="28" w:type="dxa"/>
          <w:bottom w:w="28" w:type="dxa"/>
          <w:right w:w="28" w:type="dxa"/>
        </w:tblCellMar>
      </w:tblPr>
      <w:tblGrid>
        <w:gridCol w:w="2907"/>
        <w:gridCol w:w="2555"/>
        <w:gridCol w:w="2567"/>
        <w:gridCol w:w="196"/>
        <w:gridCol w:w="421"/>
        <w:gridCol w:w="109"/>
        <w:gridCol w:w="109"/>
        <w:gridCol w:w="109"/>
        <w:gridCol w:w="109"/>
        <w:gridCol w:w="242"/>
        <w:gridCol w:w="689"/>
        <w:gridCol w:w="192"/>
      </w:tblGrid>
      <w:tr>
        <w:trPr/>
        <w:tc>
          <w:tcPr>
            <w:tcW w:w="2907"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8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50" w:type="dxa"/>
            <w:gridSpan w:val="6"/>
            <w:tcBorders/>
          </w:tcPr>
          <w:p>
            <w:pPr>
              <w:pStyle w:val="TableContents"/>
              <w:bidi w:val="0"/>
              <w:spacing w:before="0" w:after="283"/>
              <w:jc w:val="left"/>
              <w:rPr>
                <w:sz w:val="4"/>
                <w:szCs w:val="4"/>
              </w:rPr>
            </w:pPr>
            <w:r>
              <w:rPr>
                <w:sz w:val="4"/>
                <w:szCs w:val="4"/>
              </w:rPr>
            </w:r>
          </w:p>
        </w:tc>
      </w:tr>
      <w:tr>
        <w:trPr/>
        <w:tc>
          <w:tcPr>
            <w:tcW w:w="8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8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9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 shown in the Unaudited Condensed Statements of Consolidated Cash Flows</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1,245 </w:t>
            </w:r>
          </w:p>
        </w:tc>
        <w:tc>
          <w:tcPr>
            <w:tcW w:w="192"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80"/>
        <w:jc w:val="both"/>
        <w:rPr>
          <w:rFonts w:ascii="Times New Roman;serif" w:hAnsi="Times New Roman;serif"/>
          <w:b w:val="false"/>
          <w:color w:val="000000"/>
          <w:sz w:val="20"/>
        </w:rPr>
      </w:pPr>
      <w:r>
        <w:rPr>
          <w:rFonts w:ascii="Times New Roman;serif" w:hAnsi="Times New Roman;serif"/>
          <w:b w:val="false"/>
          <w:color w:val="000000"/>
          <w:sz w:val="20"/>
        </w:rPr>
        <w:t>Restricted cash primarily represents amounts held in segregated bank accounts by our clearing brokers as margin in support of our commodity derivative instruments portfolio and related physical purchases and sales of natural gas, NGLs, crude oil, petrochemicals, refined products and power. Additional cash may be restricted to maintain our commodity derivative instruments portfolio as prices fluctuate or margin requirements change. See Note 13 for information regarding our derivative instruments and hedging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 Inventories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inventory amounts by product type were as follows at the dates indicated:</w:t>
      </w:r>
    </w:p>
    <w:tbl>
      <w:tblPr>
        <w:tblW w:w="4966" w:type="dxa"/>
        <w:jc w:val="left"/>
        <w:tblInd w:w="0" w:type="dxa"/>
        <w:tblLayout w:type="fixed"/>
        <w:tblCellMar>
          <w:top w:w="28" w:type="dxa"/>
          <w:left w:w="28" w:type="dxa"/>
          <w:bottom w:w="28" w:type="dxa"/>
          <w:right w:w="28" w:type="dxa"/>
        </w:tblCellMar>
      </w:tblPr>
      <w:tblGrid>
        <w:gridCol w:w="952"/>
        <w:gridCol w:w="838"/>
        <w:gridCol w:w="849"/>
        <w:gridCol w:w="196"/>
        <w:gridCol w:w="556"/>
        <w:gridCol w:w="109"/>
        <w:gridCol w:w="109"/>
        <w:gridCol w:w="109"/>
        <w:gridCol w:w="109"/>
        <w:gridCol w:w="246"/>
        <w:gridCol w:w="700"/>
        <w:gridCol w:w="193"/>
      </w:tblGrid>
      <w:tr>
        <w:trPr/>
        <w:tc>
          <w:tcPr>
            <w:tcW w:w="95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2,923 </w:t>
            </w:r>
          </w:p>
        </w:tc>
        <w:tc>
          <w:tcPr>
            <w:tcW w:w="19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Petrochemicals and refined products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4,666 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3,884 </w:t>
            </w:r>
          </w:p>
        </w:tc>
        <w:tc>
          <w:tcPr>
            <w:tcW w:w="19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Due to fluctuating commodity prices, we recognize lower of cost or net realizable value adjustments when the carrying value of our available-for-sale inventories exceeds their net realizable value. The following table presents our total cost of sales amounts and lower of cost or net realizable value adjustments for the periods indicated:</w:t>
      </w:r>
    </w:p>
    <w:tbl>
      <w:tblPr>
        <w:tblW w:w="10205" w:type="dxa"/>
        <w:jc w:val="left"/>
        <w:tblInd w:w="0" w:type="dxa"/>
        <w:tblLayout w:type="fixed"/>
        <w:tblCellMar>
          <w:top w:w="28" w:type="dxa"/>
          <w:left w:w="28" w:type="dxa"/>
          <w:bottom w:w="28" w:type="dxa"/>
          <w:right w:w="28" w:type="dxa"/>
        </w:tblCellMar>
      </w:tblPr>
      <w:tblGrid>
        <w:gridCol w:w="1905"/>
        <w:gridCol w:w="1660"/>
        <w:gridCol w:w="1680"/>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56"/>
      </w:tblGrid>
      <w:tr>
        <w:trPr/>
        <w:tc>
          <w:tcPr>
            <w:tcW w:w="190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5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(1)</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14,160 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24,838 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19,904 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Lower of cost or net realizable value adjustments recognized in cost of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4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(1)Cost of sales is a component of “Operating costs and expenses” as presented on our Unaudited Condensed Statements of Consolidated Operations. Fluctuations in these amounts are primarily due to changes in energy commodity prices and sales volumes associated with our marketing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4. Property, Plant and Equipment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historical costs of our property, plant and equipment and related balances were as follows at the dates indicated:</w:t>
      </w:r>
    </w:p>
    <w:tbl>
      <w:tblPr>
        <w:tblW w:w="10205" w:type="dxa"/>
        <w:jc w:val="left"/>
        <w:tblInd w:w="0" w:type="dxa"/>
        <w:tblLayout w:type="fixed"/>
        <w:tblCellMar>
          <w:top w:w="28" w:type="dxa"/>
          <w:left w:w="28" w:type="dxa"/>
          <w:bottom w:w="28" w:type="dxa"/>
          <w:right w:w="28" w:type="dxa"/>
        </w:tblCellMar>
      </w:tblPr>
      <w:tblGrid>
        <w:gridCol w:w="2402"/>
        <w:gridCol w:w="2088"/>
        <w:gridCol w:w="2098"/>
        <w:gridCol w:w="292"/>
        <w:gridCol w:w="292"/>
        <w:gridCol w:w="294"/>
        <w:gridCol w:w="109"/>
        <w:gridCol w:w="109"/>
        <w:gridCol w:w="109"/>
        <w:gridCol w:w="196"/>
        <w:gridCol w:w="646"/>
        <w:gridCol w:w="109"/>
        <w:gridCol w:w="109"/>
        <w:gridCol w:w="109"/>
        <w:gridCol w:w="109"/>
        <w:gridCol w:w="222"/>
        <w:gridCol w:w="734"/>
        <w:gridCol w:w="178"/>
      </w:tblGrid>
      <w:tr>
        <w:trPr/>
        <w:tc>
          <w:tcPr>
            <w:tcW w:w="2402"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461" w:type="dxa"/>
            <w:gridSpan w:val="6"/>
            <w:tcBorders/>
          </w:tcPr>
          <w:p>
            <w:pPr>
              <w:pStyle w:val="TableContents"/>
              <w:bidi w:val="0"/>
              <w:spacing w:before="0" w:after="283"/>
              <w:jc w:val="left"/>
              <w:rPr>
                <w:sz w:val="4"/>
                <w:szCs w:val="4"/>
              </w:rPr>
            </w:pPr>
            <w:r>
              <w:rPr>
                <w:sz w:val="4"/>
                <w:szCs w:val="4"/>
              </w:rPr>
            </w:r>
          </w:p>
        </w:tc>
      </w:tr>
      <w:tr>
        <w:trPr/>
        <w:tc>
          <w:tcPr>
            <w:tcW w:w="658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Useful Life</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Plants, pipelines and facilities (1)(5)</w:t>
            </w:r>
          </w:p>
        </w:tc>
        <w:tc>
          <w:tcPr>
            <w:tcW w:w="878"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68,542 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66,498 </w:t>
            </w:r>
          </w:p>
        </w:tc>
        <w:tc>
          <w:tcPr>
            <w:tcW w:w="17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Underground and other storage facilities (2)(6)</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 equipment (3)</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Marine vessels (4)</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Land</w:t>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in progress</w:t>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Subtotal</w:t>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77,393 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75,472 </w:t>
            </w:r>
          </w:p>
        </w:tc>
        <w:tc>
          <w:tcPr>
            <w:tcW w:w="17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depreciation</w:t>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24,338 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Subtotal property, plant and equipment, net</w:t>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51,991 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51,134 </w:t>
            </w:r>
          </w:p>
        </w:tc>
        <w:tc>
          <w:tcPr>
            <w:tcW w:w="17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59"/>
              <w:jc w:val="left"/>
              <w:rPr>
                <w:rFonts w:ascii="Times New Roman;serif" w:hAnsi="Times New Roman;serif"/>
                <w:b w:val="false"/>
                <w:color w:val="000000"/>
                <w:sz w:val="16"/>
              </w:rPr>
            </w:pPr>
            <w:r>
              <w:rPr>
                <w:rFonts w:ascii="Times New Roman;serif" w:hAnsi="Times New Roman;serif"/>
                <w:b w:val="false"/>
                <w:color w:val="000000"/>
                <w:sz w:val="16"/>
              </w:rPr>
              <w:t>Capitalized major maintenance costs for reaction-based plants, net of accumulated amortization (7)</w:t>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52,223 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51,359 </w:t>
            </w:r>
          </w:p>
        </w:tc>
        <w:tc>
          <w:tcPr>
            <w:tcW w:w="17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8"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(1)Plants, pipelines and facilities include distillation-based and reaction-based plants; NGL, natural gas, crude oil and petrochemical and refined products pipelines; terminal loading and unloading facilities; buildings; office furniture and equipment; laboratory and shop equipment and related assets.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(2)Underground and other storage facilities include underground product storage caverns; above ground storage tanks; water wells and related assets.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(3)Transportation equipment includes tractor-trailer tank trucks and other vehicles and similar assets used in our operations.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(4)Marine vessels include tow boats, barges and related equipment used in our marine transportation business.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(5)In general, the estimated useful lives of major assets within this category are: distillation-based and reaction-based plants, 20-35 years; pipelines and related equipment, 5-45 years; terminal facilities, 10-35 years; buildings, 20-40 years; office furniture and equipment, 3-20 years; and laboratory and shop equipment, 5-35 years.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(6)In general, the estimated useful lives of assets within this category are: underground storage facilities, 5-35 years; storage tanks, 10-40 years; and water wells, 5-35 years.</w:t>
      </w:r>
    </w:p>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(7)For reaction-based plants, we use the deferral method when accounting for major maintenance activities. Under the deferral method, major maintenance costs are capitalized and amortized over the period until the next major overhaul project. On a weighted-average basis, the expected remaining amortization period for these costs is 2.2 years.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at June 30, 2026 and December 31, 2025 includes $201 million and $141 million, respectively, of asset retirement costs capitalized as an increase in the associated long-lived asset.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our asset retirement obligations, or AROs, since December 31, 2025:</w:t>
      </w:r>
    </w:p>
    <w:tbl>
      <w:tblPr>
        <w:tblW w:w="4387" w:type="dxa"/>
        <w:jc w:val="left"/>
        <w:tblInd w:w="0" w:type="dxa"/>
        <w:tblLayout w:type="fixed"/>
        <w:tblCellMar>
          <w:top w:w="28" w:type="dxa"/>
          <w:left w:w="28" w:type="dxa"/>
          <w:bottom w:w="28" w:type="dxa"/>
          <w:right w:w="28" w:type="dxa"/>
        </w:tblCellMar>
      </w:tblPr>
      <w:tblGrid>
        <w:gridCol w:w="1151"/>
        <w:gridCol w:w="1010"/>
        <w:gridCol w:w="1019"/>
        <w:gridCol w:w="196"/>
        <w:gridCol w:w="421"/>
        <w:gridCol w:w="109"/>
        <w:gridCol w:w="109"/>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ARO liability balance, December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incurred (1)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Revisions in estimated cash flows (2)</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settled (3)</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expense (4)</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ARO liability balance, June 30, 2026</w:t>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(1)Represents the initial recognition of estimated ARO liabilities during the period.</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(2)Represents subsequent adjustments to estimated ARO liabilities during the period.</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(3)Represents cash payments to settle ARO liabilities during the period.</w:t>
      </w:r>
    </w:p>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(4)Represents the net change in ARO liability balance attributable to the passage of time and other adjustments, including true-up amounts associated with revised closure estimates.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Of the $360 million total ARO liability recorded at June 30, 2026, $4 million was reflected as a current liability and $356 million as a long-term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depreciation expense and capitalized interest amounts for the periods indicated:</w:t>
      </w:r>
    </w:p>
    <w:tbl>
      <w:tblPr>
        <w:tblW w:w="6277" w:type="dxa"/>
        <w:jc w:val="left"/>
        <w:tblInd w:w="0" w:type="dxa"/>
        <w:tblLayout w:type="fixed"/>
        <w:tblCellMar>
          <w:top w:w="28" w:type="dxa"/>
          <w:left w:w="28" w:type="dxa"/>
          <w:bottom w:w="28" w:type="dxa"/>
          <w:right w:w="28" w:type="dxa"/>
        </w:tblCellMar>
      </w:tblPr>
      <w:tblGrid>
        <w:gridCol w:w="673"/>
        <w:gridCol w:w="591"/>
        <w:gridCol w:w="595"/>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 (1)</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interest (2)</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(1)Depreciation expense is a component of “Costs and expenses” as presented on our Unaudited Condensed Statements of Consolidated Operations.</w:t>
      </w:r>
    </w:p>
    <w:p>
      <w:pPr>
        <w:pStyle w:val="TextBody"/>
        <w:bidi w:val="0"/>
        <w:spacing w:lineRule="auto" w:line="288" w:before="0" w:after="48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(2)We capitalize interest costs incurred on funds used to construct property, plant and equipment while the asset is in its construction phase. The capitalized interest is recorded as part of the asset to which it relates and is amortized over the asset’s estimated useful life as a component of depreciation expense. When capitalized interest is recorded, it reduces interest expense from what it would be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5. Investments in Unconsolidated Affiliates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investments in unconsolidated affiliates by business segment at the dates indicated. We account for these investments using the equity method.</w:t>
      </w:r>
    </w:p>
    <w:tbl>
      <w:tblPr>
        <w:tblW w:w="5446" w:type="dxa"/>
        <w:jc w:val="left"/>
        <w:tblInd w:w="0" w:type="dxa"/>
        <w:tblLayout w:type="fixed"/>
        <w:tblCellMar>
          <w:top w:w="28" w:type="dxa"/>
          <w:left w:w="28" w:type="dxa"/>
          <w:bottom w:w="28" w:type="dxa"/>
          <w:right w:w="28" w:type="dxa"/>
        </w:tblCellMar>
      </w:tblPr>
      <w:tblGrid>
        <w:gridCol w:w="1129"/>
        <w:gridCol w:w="991"/>
        <w:gridCol w:w="999"/>
        <w:gridCol w:w="196"/>
        <w:gridCol w:w="556"/>
        <w:gridCol w:w="109"/>
        <w:gridCol w:w="109"/>
        <w:gridCol w:w="109"/>
        <w:gridCol w:w="109"/>
        <w:gridCol w:w="246"/>
        <w:gridCol w:w="700"/>
        <w:gridCol w:w="193"/>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Pipelines &amp; Services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19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Pipelines &amp; Services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Pipelines &amp; Services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Petrochemical &amp; Refined Products Services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2,165 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2,185 </w:t>
            </w:r>
          </w:p>
        </w:tc>
        <w:tc>
          <w:tcPr>
            <w:tcW w:w="19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equity in income of unconsolidated affiliates by business segment for the periods indicated:</w:t>
      </w:r>
    </w:p>
    <w:tbl>
      <w:tblPr>
        <w:tblW w:w="7179" w:type="dxa"/>
        <w:jc w:val="left"/>
        <w:tblInd w:w="0" w:type="dxa"/>
        <w:tblLayout w:type="fixed"/>
        <w:tblCellMar>
          <w:top w:w="28" w:type="dxa"/>
          <w:left w:w="28" w:type="dxa"/>
          <w:bottom w:w="28" w:type="dxa"/>
          <w:right w:w="28" w:type="dxa"/>
        </w:tblCellMar>
      </w:tblPr>
      <w:tblGrid>
        <w:gridCol w:w="1129"/>
        <w:gridCol w:w="991"/>
        <w:gridCol w:w="999"/>
        <w:gridCol w:w="196"/>
        <w:gridCol w:w="422"/>
        <w:gridCol w:w="109"/>
        <w:gridCol w:w="109"/>
        <w:gridCol w:w="109"/>
        <w:gridCol w:w="109"/>
        <w:gridCol w:w="196"/>
        <w:gridCol w:w="332"/>
        <w:gridCol w:w="109"/>
        <w:gridCol w:w="109"/>
        <w:gridCol w:w="109"/>
        <w:gridCol w:w="109"/>
        <w:gridCol w:w="196"/>
        <w:gridCol w:w="421"/>
        <w:gridCol w:w="109"/>
        <w:gridCol w:w="109"/>
        <w:gridCol w:w="109"/>
        <w:gridCol w:w="109"/>
        <w:gridCol w:w="196"/>
        <w:gridCol w:w="421"/>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Pipelines &amp; Services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Pipelines &amp; Services</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Pipelines &amp; Services</w:t>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Petrochemical &amp; Refined Products Services</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2"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Intangible Assets and Goodwill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Identifiable Intangible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intangible assets by business segment at the dates indicated:</w:t>
      </w:r>
    </w:p>
    <w:tbl>
      <w:tblPr>
        <w:tblW w:w="10205" w:type="dxa"/>
        <w:jc w:val="left"/>
        <w:tblInd w:w="0" w:type="dxa"/>
        <w:tblLayout w:type="fixed"/>
        <w:tblCellMar>
          <w:top w:w="28" w:type="dxa"/>
          <w:left w:w="28" w:type="dxa"/>
          <w:bottom w:w="28" w:type="dxa"/>
          <w:right w:w="28" w:type="dxa"/>
        </w:tblCellMar>
      </w:tblPr>
      <w:tblGrid>
        <w:gridCol w:w="1045"/>
        <w:gridCol w:w="856"/>
        <w:gridCol w:w="859"/>
        <w:gridCol w:w="196"/>
        <w:gridCol w:w="556"/>
        <w:gridCol w:w="109"/>
        <w:gridCol w:w="109"/>
        <w:gridCol w:w="109"/>
        <w:gridCol w:w="109"/>
        <w:gridCol w:w="241"/>
        <w:gridCol w:w="704"/>
        <w:gridCol w:w="136"/>
        <w:gridCol w:w="109"/>
        <w:gridCol w:w="109"/>
        <w:gridCol w:w="109"/>
        <w:gridCol w:w="196"/>
        <w:gridCol w:w="556"/>
        <w:gridCol w:w="109"/>
        <w:gridCol w:w="109"/>
        <w:gridCol w:w="109"/>
        <w:gridCol w:w="109"/>
        <w:gridCol w:w="196"/>
        <w:gridCol w:w="556"/>
        <w:gridCol w:w="109"/>
        <w:gridCol w:w="109"/>
        <w:gridCol w:w="109"/>
        <w:gridCol w:w="109"/>
        <w:gridCol w:w="241"/>
        <w:gridCol w:w="704"/>
        <w:gridCol w:w="136"/>
        <w:gridCol w:w="109"/>
        <w:gridCol w:w="109"/>
        <w:gridCol w:w="109"/>
        <w:gridCol w:w="196"/>
        <w:gridCol w:w="556"/>
        <w:gridCol w:w="313"/>
      </w:tblGrid>
      <w:tr>
        <w:trPr/>
        <w:tc>
          <w:tcPr>
            <w:tcW w:w="104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Value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Value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NGL Pipelines &amp; Services:</w:t>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 intangibles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Contract-based intangibles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Segment total</w:t>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w:t>
            </w:r>
          </w:p>
        </w:tc>
        <w:tc>
          <w:tcPr>
            <w:tcW w:w="1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1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1,033 </w:t>
            </w:r>
          </w:p>
        </w:tc>
        <w:tc>
          <w:tcPr>
            <w:tcW w:w="3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Crude Oil Pipelines &amp; Services:</w:t>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 intangibles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1,485 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Contract-based intangibles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Segment total</w:t>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(1,038)</w:t>
            </w:r>
          </w:p>
        </w:tc>
        <w:tc>
          <w:tcPr>
            <w:tcW w:w="1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(990)</w:t>
            </w:r>
          </w:p>
        </w:tc>
        <w:tc>
          <w:tcPr>
            <w:tcW w:w="1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1,488 </w:t>
            </w:r>
          </w:p>
        </w:tc>
        <w:tc>
          <w:tcPr>
            <w:tcW w:w="3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Natural Gas Pipelines &amp; Services:</w:t>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 intangibles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651 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Contract-based intangibles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Segment total</w:t>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(1,003)</w:t>
            </w:r>
          </w:p>
        </w:tc>
        <w:tc>
          <w:tcPr>
            <w:tcW w:w="1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(965)</w:t>
            </w:r>
          </w:p>
        </w:tc>
        <w:tc>
          <w:tcPr>
            <w:tcW w:w="1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1,536 </w:t>
            </w:r>
          </w:p>
        </w:tc>
        <w:tc>
          <w:tcPr>
            <w:tcW w:w="3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Petrochemical &amp; Refined Products Services:</w:t>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 intangibles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Contract-based intangibles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Segment total</w:t>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3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intangible assets</w:t>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6,718 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(2,667)</w:t>
            </w:r>
          </w:p>
        </w:tc>
        <w:tc>
          <w:tcPr>
            <w:tcW w:w="13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4,051 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6,709 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(2,550)</w:t>
            </w:r>
          </w:p>
        </w:tc>
        <w:tc>
          <w:tcPr>
            <w:tcW w:w="13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4,159 </w:t>
            </w:r>
          </w:p>
        </w:tc>
        <w:tc>
          <w:tcPr>
            <w:tcW w:w="313"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amortization expense of our intangible assets by business segment for the periods indicated:</w:t>
      </w:r>
    </w:p>
    <w:tbl>
      <w:tblPr>
        <w:tblW w:w="7426" w:type="dxa"/>
        <w:jc w:val="left"/>
        <w:tblInd w:w="0" w:type="dxa"/>
        <w:tblLayout w:type="fixed"/>
        <w:tblCellMar>
          <w:top w:w="28" w:type="dxa"/>
          <w:left w:w="28" w:type="dxa"/>
          <w:bottom w:w="28" w:type="dxa"/>
          <w:right w:w="28" w:type="dxa"/>
        </w:tblCellMar>
      </w:tblPr>
      <w:tblGrid>
        <w:gridCol w:w="1129"/>
        <w:gridCol w:w="991"/>
        <w:gridCol w:w="999"/>
        <w:gridCol w:w="207"/>
        <w:gridCol w:w="351"/>
        <w:gridCol w:w="115"/>
        <w:gridCol w:w="115"/>
        <w:gridCol w:w="115"/>
        <w:gridCol w:w="115"/>
        <w:gridCol w:w="207"/>
        <w:gridCol w:w="351"/>
        <w:gridCol w:w="115"/>
        <w:gridCol w:w="109"/>
        <w:gridCol w:w="109"/>
        <w:gridCol w:w="109"/>
        <w:gridCol w:w="196"/>
        <w:gridCol w:w="421"/>
        <w:gridCol w:w="109"/>
        <w:gridCol w:w="109"/>
        <w:gridCol w:w="109"/>
        <w:gridCol w:w="109"/>
        <w:gridCol w:w="196"/>
        <w:gridCol w:w="421"/>
        <w:gridCol w:w="109"/>
        <w:gridCol w:w="109"/>
        <w:gridCol w:w="401"/>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510" w:type="dxa"/>
            <w:gridSpan w:val="2"/>
            <w:tcBorders/>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Pipelines &amp; Services</w:t>
            </w:r>
          </w:p>
        </w:tc>
        <w:tc>
          <w:tcPr>
            <w:tcW w:w="20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Pipelines &amp; Services</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Pipelines &amp; Services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Petrochemical &amp; Refined Products Services</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07"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1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1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forecast of amortization expense associated with existing intangible assets for the periods indicated:</w:t>
      </w:r>
    </w:p>
    <w:tbl>
      <w:tblPr>
        <w:tblW w:w="5173" w:type="dxa"/>
        <w:jc w:val="center"/>
        <w:tblInd w:w="0" w:type="dxa"/>
        <w:tblLayout w:type="fixed"/>
        <w:tblCellMar>
          <w:top w:w="28" w:type="dxa"/>
          <w:left w:w="28" w:type="dxa"/>
          <w:bottom w:w="28" w:type="dxa"/>
          <w:right w:w="28" w:type="dxa"/>
        </w:tblCellMar>
      </w:tblPr>
      <w:tblGrid>
        <w:gridCol w:w="260"/>
        <w:gridCol w:w="520"/>
        <w:gridCol w:w="136"/>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2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Remainder</w:t>
              <w:br/>
              <w:t>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2030</w:t>
            </w:r>
          </w:p>
        </w:tc>
      </w:tr>
      <w:tr>
        <w:trPr/>
        <w:tc>
          <w:tcPr>
            <w:tcW w:w="26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of an acquired business over the amounts assigned to assets acquired and liabilities assumed in the transaction. There has been no change in our goodwill amounts since those reported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 Debt Obligations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debt obligations (arranged by company and maturity date) at the dates indicated:</w:t>
      </w:r>
    </w:p>
    <w:tbl>
      <w:tblPr>
        <w:tblW w:w="8581" w:type="dxa"/>
        <w:jc w:val="left"/>
        <w:tblInd w:w="0" w:type="dxa"/>
        <w:tblLayout w:type="fixed"/>
        <w:tblCellMar>
          <w:top w:w="28" w:type="dxa"/>
          <w:left w:w="28" w:type="dxa"/>
          <w:bottom w:w="28" w:type="dxa"/>
          <w:right w:w="28" w:type="dxa"/>
        </w:tblCellMar>
      </w:tblPr>
      <w:tblGrid>
        <w:gridCol w:w="2187"/>
        <w:gridCol w:w="1917"/>
        <w:gridCol w:w="1926"/>
        <w:gridCol w:w="181"/>
        <w:gridCol w:w="541"/>
        <w:gridCol w:w="109"/>
        <w:gridCol w:w="109"/>
        <w:gridCol w:w="109"/>
        <w:gridCol w:w="109"/>
        <w:gridCol w:w="181"/>
        <w:gridCol w:w="541"/>
        <w:gridCol w:w="671"/>
      </w:tblGrid>
      <w:tr>
        <w:trPr/>
        <w:tc>
          <w:tcPr>
            <w:tcW w:w="2187"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20" w:type="dxa"/>
            <w:gridSpan w:val="6"/>
            <w:tcBorders/>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w:t>
              <w:br/>
              <w:t>2025</w:t>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EPO senior debt obligations:</w:t>
            </w:r>
          </w:p>
        </w:tc>
        <w:tc>
          <w:tcPr>
            <w:tcW w:w="83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Paper Notes, variable-rates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FFF, 5.05% fixed-rate, due January 2026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PP, 3.70% fixed-rate, due February 2026</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875 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HHH, 4.60% fixed-rate, due January 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SS, 3.95% fixed-rate, due February 2027</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575 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March 2026 $1.5 Billion 364-Day Revolving Credit Agreement, variable-rate, due March 2027 (1)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LLL, 4.30% fixed-rate, due June 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WW, 4.15% fixed-rate, due October 2028</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YY, 3.125% fixed-rate, due July 2029</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AAA, 2.80% fixed-rate, due January 2030</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March 2023 $2.7 Billion Multi-Year Revolving Credit Agreement, variable-rate, due March 2030 (2)</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MMM, 4.60% fixed-rate, due January 2031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GGG, 5.35% fixed-rate, due January 2033</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D, 6.875% fixed-rate, due March 2033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III, 4.85% fixed-rate, due January 2034</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H, 6.65% fixed-rate, due October 2034</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JJJ 4.95% fixed-rate, due February 2035</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J, 5.75% fixed-rate, due March 2035</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NNN, 5.20% fixed-rate, due January 2036</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W, 7.55% fixed-rate, due April 2038</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R, 6.125% fixed-rate, due October 2039</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Z, 6.45% fixed-rate, due September 2040</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BB, 5.95% fixed-rate, due February 2041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DD, 5.70% fixed-rate, due February 2042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EE, 4.85% fixed-rate, due August 2042</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GG, 4.45% fixed-rate, due February 2043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II, 4.85% fixed-rate, due March 2044</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KK, 5.10% fixed-rate, due February 2045</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QQ, 4.90% fixed-rate, due May 2046</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975 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UU, 4.25% fixed-rate, due February 2048</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XX, 4.80% fixed-rate, due February 2049</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ZZ, 4.20% fixed-rate, due January 2050</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BBB, 3.70% fixed-rate, due January 2051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DDD, 3.20% fixed-rate, due February 2052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EEE, 3.30% fixed-rate, due February 2053</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NN, 4.95% fixed-rate, due October 2054</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KKK, 5.55% fixed-rate, due February 2055</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Senior Notes CCC, 3.95% fixed-rate, due January 2060</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principal amount of senior debt obligations</w:t>
            </w:r>
          </w:p>
        </w:tc>
        <w:tc>
          <w:tcPr>
            <w:tcW w:w="72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31,250 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32,425 </w:t>
            </w:r>
          </w:p>
        </w:tc>
        <w:tc>
          <w:tcPr>
            <w:tcW w:w="67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4"/>
              </w:rPr>
              <w:t xml:space="preserve">EPO Junior Subordinated Notes C, variable-rate, due June 2067 </w:t>
            </w:r>
            <w:r>
              <w:rPr>
                <w:rFonts w:ascii="Times New Roman;serif" w:hAnsi="Times New Roman;serif"/>
                <w:b w:val="false"/>
                <w:color w:val="000000"/>
                <w:sz w:val="14"/>
              </w:rPr>
              <w:t>(3)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232 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4"/>
              </w:rPr>
              <w:t xml:space="preserve">EPO Junior Subordinated Notes D, variable-rate, due August 2077 </w:t>
            </w:r>
            <w:r>
              <w:rPr>
                <w:rFonts w:ascii="Times New Roman;serif" w:hAnsi="Times New Roman;serif"/>
                <w:b w:val="false"/>
                <w:color w:val="000000"/>
                <w:sz w:val="14"/>
              </w:rPr>
              <w:t>(4)</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4"/>
              </w:rPr>
              <w:t xml:space="preserve">EPO Junior Subordinated Notes E, fixed/variable-rate, due August 2077 </w:t>
            </w:r>
            <w:r>
              <w:rPr>
                <w:rFonts w:ascii="Times New Roman;serif" w:hAnsi="Times New Roman;serif"/>
                <w:b w:val="false"/>
                <w:color w:val="000000"/>
                <w:sz w:val="14"/>
              </w:rPr>
              <w:t>(5)</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4"/>
              </w:rPr>
              <w:t xml:space="preserve">EPO Junior Subordinated Notes F, fixed/variable-rate, due February 2078 </w:t>
            </w:r>
            <w:r>
              <w:rPr>
                <w:rFonts w:ascii="Times New Roman;serif" w:hAnsi="Times New Roman;serif"/>
                <w:b w:val="false"/>
                <w:color w:val="000000"/>
                <w:sz w:val="14"/>
              </w:rPr>
              <w:t>(6)</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700 </w:t>
            </w:r>
          </w:p>
        </w:tc>
        <w:tc>
          <w:tcPr>
            <w:tcW w:w="6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principal amount of senior and junior debt obligations</w:t>
            </w:r>
          </w:p>
        </w:tc>
        <w:tc>
          <w:tcPr>
            <w:tcW w:w="72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33,532 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34,707 </w:t>
            </w:r>
          </w:p>
        </w:tc>
        <w:tc>
          <w:tcPr>
            <w:tcW w:w="67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Other, non-principal amounts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w:t>
            </w:r>
          </w:p>
        </w:tc>
        <w:tc>
          <w:tcPr>
            <w:tcW w:w="6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Less current maturities of debt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(1,625)</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long-term debt</w:t>
            </w:r>
          </w:p>
        </w:tc>
        <w:tc>
          <w:tcPr>
            <w:tcW w:w="1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31,205 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32,770 </w:t>
            </w:r>
          </w:p>
        </w:tc>
        <w:tc>
          <w:tcPr>
            <w:tcW w:w="67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3"/>
        </w:rPr>
      </w:pPr>
      <w:r>
        <w:rPr>
          <w:rFonts w:ascii="Times New Roman;serif" w:hAnsi="Times New Roman;serif"/>
          <w:b w:val="false"/>
          <w:color w:val="000000"/>
          <w:sz w:val="13"/>
        </w:rPr>
        <w:t>(1)Under the terms of the agreement, EPO may borrow up to $1.5 billion (which may be increased by up to $200 million to $1.7 billion at EPO’s election provided certain conditions are met).</w:t>
      </w:r>
    </w:p>
    <w:p>
      <w:pPr>
        <w:pStyle w:val="TextBody"/>
        <w:bidi w:val="0"/>
        <w:spacing w:lineRule="auto" w:line="288" w:before="0" w:after="0"/>
        <w:ind w:left="0" w:right="0" w:hanging="450"/>
        <w:jc w:val="both"/>
        <w:rPr>
          <w:rFonts w:ascii="Times New Roman;serif" w:hAnsi="Times New Roman;serif"/>
          <w:b w:val="false"/>
          <w:color w:val="000000"/>
          <w:sz w:val="13"/>
        </w:rPr>
      </w:pPr>
      <w:r>
        <w:rPr>
          <w:rFonts w:ascii="Times New Roman;serif" w:hAnsi="Times New Roman;serif"/>
          <w:b w:val="false"/>
          <w:color w:val="000000"/>
          <w:sz w:val="13"/>
        </w:rPr>
        <w:t>(2)Under the terms of the agreement, EPO may borrow up to $2.7 billion (which may be increased by up to $500 million to $3.2 billion at EPO’s election provided certain conditions are met).</w:t>
      </w:r>
    </w:p>
    <w:p>
      <w:pPr>
        <w:pStyle w:val="TextBody"/>
        <w:bidi w:val="0"/>
        <w:spacing w:lineRule="auto" w:line="288" w:before="0" w:after="0"/>
        <w:ind w:left="0" w:right="0" w:hanging="450"/>
        <w:jc w:val="both"/>
        <w:rPr>
          <w:rFonts w:ascii="Times New Roman;serif" w:hAnsi="Times New Roman;serif"/>
          <w:b w:val="false"/>
          <w:color w:val="000000"/>
          <w:sz w:val="13"/>
        </w:rPr>
      </w:pPr>
      <w:r>
        <w:rPr>
          <w:rFonts w:ascii="Times New Roman;serif" w:hAnsi="Times New Roman;serif"/>
          <w:b w:val="false"/>
          <w:color w:val="000000"/>
          <w:sz w:val="13"/>
        </w:rPr>
        <w:t>(3)Variable rate is reset quarterly and based on 3-month Chicago Mercantile Exchange (“CME”) Term Secured Overnight Financing Rate (“SOFR”) plus (a) a 0.26161% tenor spread adjustment and (b) 2.778%.</w:t>
      </w:r>
    </w:p>
    <w:p>
      <w:pPr>
        <w:pStyle w:val="TextBody"/>
        <w:bidi w:val="0"/>
        <w:spacing w:lineRule="auto" w:line="288" w:before="0" w:after="0"/>
        <w:ind w:left="0" w:right="0" w:hanging="450"/>
        <w:jc w:val="both"/>
        <w:rPr>
          <w:rFonts w:ascii="Times New Roman;serif" w:hAnsi="Times New Roman;serif"/>
          <w:b w:val="false"/>
          <w:color w:val="000000"/>
          <w:sz w:val="13"/>
        </w:rPr>
      </w:pPr>
      <w:r>
        <w:rPr>
          <w:rFonts w:ascii="Times New Roman;serif" w:hAnsi="Times New Roman;serif"/>
          <w:b w:val="false"/>
          <w:color w:val="000000"/>
          <w:sz w:val="13"/>
        </w:rPr>
        <w:t>(4)Variable rate is reset quarterly and based on 3-month CME Term SOFR plus (a) a 0.26161% tenor spread adjustment and (b) 2.986%.</w:t>
      </w:r>
    </w:p>
    <w:p>
      <w:pPr>
        <w:pStyle w:val="TextBody"/>
        <w:bidi w:val="0"/>
        <w:spacing w:lineRule="auto" w:line="288" w:before="0" w:after="0"/>
        <w:ind w:left="0" w:right="0" w:hanging="450"/>
        <w:jc w:val="both"/>
        <w:rPr>
          <w:rFonts w:ascii="Times New Roman;serif" w:hAnsi="Times New Roman;serif"/>
          <w:b w:val="false"/>
          <w:color w:val="000000"/>
          <w:sz w:val="13"/>
        </w:rPr>
      </w:pPr>
      <w:r>
        <w:rPr>
          <w:rFonts w:ascii="Times New Roman;serif" w:hAnsi="Times New Roman;serif"/>
          <w:b w:val="false"/>
          <w:color w:val="000000"/>
          <w:sz w:val="13"/>
        </w:rPr>
        <w:t>(5)Fixed rate of 5.250% through August 15, 2027; thereafter, a variable rate reset quarterly and based on 3-month CME Term SOFR plus (a) a 0.26161% tenor spread adjustment and (b) 3.033%.</w:t>
      </w:r>
    </w:p>
    <w:p>
      <w:pPr>
        <w:pStyle w:val="TextBody"/>
        <w:bidi w:val="0"/>
        <w:spacing w:lineRule="auto" w:line="288" w:before="0" w:after="240"/>
        <w:ind w:left="0" w:right="0" w:hanging="450"/>
        <w:jc w:val="both"/>
        <w:rPr>
          <w:rFonts w:ascii="Times New Roman;serif" w:hAnsi="Times New Roman;serif"/>
          <w:b w:val="false"/>
          <w:color w:val="000000"/>
          <w:sz w:val="13"/>
        </w:rPr>
      </w:pPr>
      <w:r>
        <w:rPr>
          <w:rFonts w:ascii="Times New Roman;serif" w:hAnsi="Times New Roman;serif"/>
          <w:b w:val="false"/>
          <w:color w:val="000000"/>
          <w:sz w:val="13"/>
        </w:rPr>
        <w:t>(6)Fixed rate of 5.375% through February 14, 2028; thereafter, a variable rate reset quarterly and based on 3-month CME Term SOFR plus (a) a 0.26161% tenor spread adjustment and (b) 2.57%.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Variable Interest Rates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range of interest rates and weighted-average interest rates paid on our consolidated variable-rate debt during the six months ended June 30, 2026:</w:t>
      </w:r>
    </w:p>
    <w:tbl>
      <w:tblPr>
        <w:tblW w:w="5370" w:type="dxa"/>
        <w:jc w:val="left"/>
        <w:tblInd w:w="0" w:type="dxa"/>
        <w:tblLayout w:type="fixed"/>
        <w:tblCellMar>
          <w:top w:w="28" w:type="dxa"/>
          <w:left w:w="28" w:type="dxa"/>
          <w:bottom w:w="28" w:type="dxa"/>
          <w:right w:w="28" w:type="dxa"/>
        </w:tblCellMar>
      </w:tblPr>
      <w:tblGrid>
        <w:gridCol w:w="902"/>
        <w:gridCol w:w="793"/>
        <w:gridCol w:w="795"/>
        <w:gridCol w:w="454"/>
        <w:gridCol w:w="454"/>
        <w:gridCol w:w="456"/>
        <w:gridCol w:w="444"/>
        <w:gridCol w:w="444"/>
        <w:gridCol w:w="628"/>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Range of Interest</w:t>
              <w:br/>
              <w:t>Rates Paid</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w:t>
              <w:br/>
              <w:t>Interest Rate Paid</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 Notes</w:t>
            </w:r>
          </w:p>
        </w:tc>
        <w:tc>
          <w:tcPr>
            <w:tcW w:w="136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3.78% to 4.07%</w:t>
            </w:r>
          </w:p>
        </w:tc>
        <w:tc>
          <w:tcPr>
            <w:tcW w:w="151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3.91%</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EPO Junior Subordinated Notes C</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6.70% to 6.83%</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6.75%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EPO Junior Subordinated Notes D</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6.90% to 7.10%</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6.95%</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Amounts borrowed under EPO’s March 2026 $1.5 Billion 364-Day Revolving Credit Agreement and March 2023 $2.7 Billion Multi-Year Revolving Credit Agreement bear interest, at EPO’s election, equal to: (i) SOFR, plus an additional variable spread; or (ii) an alternate base rate, which is the greatest of (a) the Prime Rate in effect on such day, (b) the Federal Funds Effective Rate in effect on such day plus 0.5%, or (c) Adjusted Term SOFR, for an interest period of one month in effect on such day plus 1%, and a variable spread. The applicable spreads are determined based on EPO’s debt ratings.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Scheduled Maturities of Debt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scheduled maturities of principal amounts of EPO’s consolidated debt obligations at June 30, 2026 for the next five years, and in total thereafter:</w:t>
      </w:r>
    </w:p>
    <w:tbl>
      <w:tblPr>
        <w:tblW w:w="10205" w:type="dxa"/>
        <w:jc w:val="left"/>
        <w:tblInd w:w="0" w:type="dxa"/>
        <w:tblLayout w:type="fixed"/>
        <w:tblCellMar>
          <w:top w:w="28" w:type="dxa"/>
          <w:left w:w="28" w:type="dxa"/>
          <w:bottom w:w="28" w:type="dxa"/>
          <w:right w:w="28" w:type="dxa"/>
        </w:tblCellMar>
      </w:tblPr>
      <w:tblGrid>
        <w:gridCol w:w="633"/>
        <w:gridCol w:w="534"/>
        <w:gridCol w:w="535"/>
        <w:gridCol w:w="196"/>
        <w:gridCol w:w="646"/>
        <w:gridCol w:w="109"/>
        <w:gridCol w:w="109"/>
        <w:gridCol w:w="109"/>
        <w:gridCol w:w="109"/>
        <w:gridCol w:w="243"/>
        <w:gridCol w:w="522"/>
        <w:gridCol w:w="13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403"/>
      </w:tblGrid>
      <w:tr>
        <w:trPr/>
        <w:tc>
          <w:tcPr>
            <w:tcW w:w="6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Scheduled Maturities of Debt</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Remainder</w:t>
              <w:br/>
              <w:t>of 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 Notes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Senior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24,925 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Junior Subordinated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2,282 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33,532 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2"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3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1,575 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27,207 </w:t>
            </w:r>
          </w:p>
        </w:tc>
        <w:tc>
          <w:tcPr>
            <w:tcW w:w="403"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March 2026 $1.5 Billion 364-Day Revolving Credit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March 2026, EPO entered into a 364-Day Revolving Credit Agreement (the “March 2026 $1.5 Billion 364-Day Revolving Credit Agreement”) that replaced its prior 364-day revolving credit agreement. As of June 30, 2026, there were no principal amounts outstanding under the March 2026 $1.5 Billion 364-Day Revolving Credit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the terms of the March 2026 $1.5 Billion 364-Day Revolving Credit Agreement, EPO may borrow up to $1.5 billion (which may be increased by up to $200 million to $1.7 billion at EPO’s election, provided certain conditions are met) at a variable interest rate for a term of up to 364 days, subject to the terms and conditions set forth therein. The March 2026 $1.5 Billion 364-Day Revolving Credit Agreement matures in March 2027. To the extent that principal amounts are outstanding at the maturity date, EPO may elect to have the entire principal balance then outstanding continued as non-revolving term loans for a period of one additional year, payable in March 2028. Borrowings under the March 2026 $1.5 Billion 364-Day Revolving Credit Agreement may be used for working capital, capital expenditures, acquisitions and general company purposes.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March 2026 $1.5 Billion 364-Day Revolving Credit Agreement contains customary representations, warranties, covenants (affirmative and negative) and events of default, the occurrence of which would permit the lenders to accelerate the maturity date of any amounts borrowed under this credit agreement. The March 2026 $1.5 Billion 364-Day Revolving Credit Agreement also restricts EPO’s ability to pay cash distributions to the Partnership, if an event of default (as defined in the credit agreement) has occurred and is continuing at the time such distribution is scheduled to be paid or would result therefrom.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EPO’s obligations under the March 2026 $1.5 Billion 364-Day Revolving Credit Agreement are not secured by any collateral; however, they are guaranteed by the Partnership.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June 30, 2026, EPO had $59 million of letters of credit outstanding primarily related to our insurance program.</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Lender Financial Covenants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were in compliance with the financial covenants of our consolidated debt agreements at June 30, 2026.</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Parent-Subsidiary Guarantor Relationships</w:t>
      </w:r>
    </w:p>
    <w:p>
      <w:pPr>
        <w:pStyle w:val="TextBody"/>
        <w:bidi w:val="0"/>
        <w:spacing w:lineRule="auto" w:line="288" w:before="0" w:after="480"/>
        <w:jc w:val="both"/>
        <w:rPr>
          <w:rFonts w:ascii="Times New Roman;serif" w:hAnsi="Times New Roman;serif"/>
          <w:b w:val="false"/>
          <w:color w:val="000000"/>
          <w:sz w:val="20"/>
        </w:rPr>
      </w:pPr>
      <w:r>
        <w:rPr>
          <w:rFonts w:ascii="Times New Roman;serif" w:hAnsi="Times New Roman;serif"/>
          <w:b w:val="false"/>
          <w:color w:val="000000"/>
          <w:sz w:val="20"/>
        </w:rPr>
        <w:t xml:space="preserve">The Partnership acts as guarantor of the consolidated debt obligations of EPO. If EPO were to default on any of its guaranteed debt, the Partnership would be responsible for full and unconditional repayment of such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 Capital Accounts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Common Limited Partner Interests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number of our common units outstanding since December 31, 2025:</w:t>
      </w:r>
    </w:p>
    <w:tbl>
      <w:tblPr>
        <w:tblW w:w="6916" w:type="dxa"/>
        <w:jc w:val="left"/>
        <w:tblInd w:w="0" w:type="dxa"/>
        <w:tblLayout w:type="fixed"/>
        <w:tblCellMar>
          <w:top w:w="28" w:type="dxa"/>
          <w:left w:w="28" w:type="dxa"/>
          <w:bottom w:w="28" w:type="dxa"/>
          <w:right w:w="28" w:type="dxa"/>
        </w:tblCellMar>
      </w:tblPr>
      <w:tblGrid>
        <w:gridCol w:w="2073"/>
        <w:gridCol w:w="1825"/>
        <w:gridCol w:w="1832"/>
        <w:gridCol w:w="347"/>
        <w:gridCol w:w="347"/>
        <w:gridCol w:w="492"/>
      </w:tblGrid>
      <w:tr>
        <w:trPr/>
        <w:tc>
          <w:tcPr>
            <w:tcW w:w="207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Common units outstanding at December 31, 2025</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2,161,760,683</w:t>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 repurchases under 2019 Buyback Program</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(3,124,192)</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in connection with the vesting of phantom unit awards, net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4,866,420</w:t>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15,360</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Common units outstanding at March 31, 2026</w:t>
            </w:r>
          </w:p>
        </w:tc>
        <w:tc>
          <w:tcPr>
            <w:tcW w:w="11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2,163,518,271</w:t>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 repurchases under 2019 Buyback Program</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(4,166,738)</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in connection with the vesting of phantom unit awards, net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125,636</w:t>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Common units outstanding at June 30, 2026</w:t>
            </w:r>
          </w:p>
        </w:tc>
        <w:tc>
          <w:tcPr>
            <w:tcW w:w="118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2,159,477,169</w:t>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Registration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a universal shelf registration statement on file with the SEC which allows the Partnership and EPO (each on a standalone basis) to issue an unlimited amount of equity and debt securities,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the Partnership has a registration statement on file with the SEC covering the issuance of up to $2.5 billion of its common units in amounts, at prices and on terms based on market conditions and other factors at the time of such offerings (referred to as the Partnership’s at-the-market (“ATM”) program). The Partnership did not issue any common units under its ATM program during the six months ended June 30, 2026. The Partnership’s capacity to issue additional common units under the ATM program remains at $2.5 billion as of June 30, 2026. The existing registration statement for our ATM program is scheduled to expire in August 2026, at which time we expect to file a replacement registration statement with the SEC in order to maintain our financial flexibility.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may issue additional equity and debt securities to assist us in meeting our future liquidity requirements, including those related to capital investments.</w:t>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Common Unit Repurchases Under 2019 Buyback Program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2019, we announced that the Board had approved a $2.0 billion multi-year unit buyback program (the “2019 Buyback Program”), which provides the Partnership with an additional method to return capital to investors. In October 2025, we announced that the Board approved an increase to the authorized maximum aggregate purchase price (excluding fees, commissions and other ancillary expenses) of the Partnership’s common units that may be repurchased under the 2019 Buyback Program from $2.0 billion to $5.0 billion. The 2019 Buyback Program authorizes the Partnership to repurchase its common units from time to time, including through open market purchases and negotiated transactions. No time limit has been set for completion of the program, and it may be suspended or discontinued at any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Partnership repurchased 4,166,738 and 3,566,979 common units, respectively, under the 2019 Buyback Program. The total cost of these repurchases, including commissions and fees, was $159 million and $110 million, respectively. During the six months ended June 30, 2026 and 2025, the Partnership repurchased 7,290,930 and 5,370,194 common units, respectively, under the 2019 Buyback Program. The total cost of these repurchases, including commissions and fees, was $275 million and $170 million, respectively. Common units repurchased under the 2019 Buyback Program are immediately cancelled upon acquisition. At June 30, 2026, the remaining available capacity under the 2019 Buyback Program was $3.3 billion.</w:t>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Common Units Issued in Connection With the Vesting of Phantom Unit Awards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After taking into account tax withholding requirements, the Partnership issued 4,992,056 new common units to employees in connection with the vesting of phantom unit awards during the six months ended June 30, 2026. See Note 12 for information regarding our phantom unit awards.</w:t>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Common Units Delivered Under DRIP and EUPP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Partnership has registration statements on file with the SEC in connection with its distribution reinvestment plan (“DRIP”) and employee unit purchase plan (“EUPP”). In July 2019, the Partnership announced that, beginning with the quarterly distribution payment paid in August 2019, it would use common units purchased on the open market, rather than issuing new common units, to satisfy its delivery obligations under the DRIP and EUPP. This election is subject to change in future quarters depending on the Partnership’s need for equity capital.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agents of the Partnership purchased 2,040,782 common units on the open market and delivered them to participants in the DRIP and EUPP. Apart from $2 million attributable to the plan discount available to all participants in the EUPP, the funds used to effect these purchases were sourced from the DRIP and EUPP participants. No other Partnership funds were used to satisfy these obligations. We plan to use open market purchases to satisfy DRIP and EUPP reinvestments in connection with the distribution expected to be paid on August 14, 2026.</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Preferred Units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were 45,412 Series A Cumulative Convertible Preferred Units (“preferred units”) outstanding. There were no changes in the number of preferred units outstanding during the three and six months ended June 30,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present the capital accounts attributable to our preferred unitholders as mezzanine equity on our consolidated balance sheets since the terms of the preferred units allow for cash redemption by such unitholders in the event of a Change of Control (as defined in our partnership agreement), without regard to the likelihood of such an event.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Partnership made quarterly cash distributions to its preferred unitholders of $2 million.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components of accumulated other comprehensive income (loss) as reported on our Unaudited Condensed Consolidated Balance Sheets at the dates indicated:</w:t>
      </w:r>
    </w:p>
    <w:tbl>
      <w:tblPr>
        <w:tblW w:w="9544" w:type="dxa"/>
        <w:jc w:val="left"/>
        <w:tblInd w:w="0" w:type="dxa"/>
        <w:tblLayout w:type="fixed"/>
        <w:tblCellMar>
          <w:top w:w="28" w:type="dxa"/>
          <w:left w:w="28" w:type="dxa"/>
          <w:bottom w:w="28" w:type="dxa"/>
          <w:right w:w="28" w:type="dxa"/>
        </w:tblCellMar>
      </w:tblPr>
      <w:tblGrid>
        <w:gridCol w:w="1897"/>
        <w:gridCol w:w="1667"/>
        <w:gridCol w:w="1671"/>
        <w:gridCol w:w="259"/>
        <w:gridCol w:w="557"/>
        <w:gridCol w:w="145"/>
        <w:gridCol w:w="109"/>
        <w:gridCol w:w="109"/>
        <w:gridCol w:w="109"/>
        <w:gridCol w:w="283"/>
        <w:gridCol w:w="609"/>
        <w:gridCol w:w="158"/>
        <w:gridCol w:w="109"/>
        <w:gridCol w:w="109"/>
        <w:gridCol w:w="109"/>
        <w:gridCol w:w="196"/>
        <w:gridCol w:w="241"/>
        <w:gridCol w:w="109"/>
        <w:gridCol w:w="109"/>
        <w:gridCol w:w="109"/>
        <w:gridCol w:w="109"/>
        <w:gridCol w:w="196"/>
        <w:gridCol w:w="421"/>
        <w:gridCol w:w="154"/>
      </w:tblGrid>
      <w:tr>
        <w:trPr/>
        <w:tc>
          <w:tcPr>
            <w:tcW w:w="189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Commodity</w:t>
              <w:br/>
              <w:t>Derivative</w:t>
              <w:br/>
              <w:t>Instruments</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Rate</w:t>
              <w:br/>
              <w:t>Derivative</w:t>
              <w:br/>
              <w:t>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Accumulated Other Comprehensive Income (Loss), December 31, 2025</w:t>
            </w:r>
          </w:p>
        </w:tc>
        <w:tc>
          <w:tcPr>
            <w:tcW w:w="25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4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for period, before reclassifications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losses (gains) to net income during period</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 for period</w:t>
            </w:r>
          </w:p>
        </w:tc>
        <w:tc>
          <w:tcPr>
            <w:tcW w:w="81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4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Accumulated Other Comprehensive Income (Loss), June 30, 2026</w:t>
            </w:r>
          </w:p>
        </w:tc>
        <w:tc>
          <w:tcPr>
            <w:tcW w:w="25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4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58"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5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tbl>
      <w:tblPr>
        <w:tblW w:w="9544" w:type="dxa"/>
        <w:jc w:val="left"/>
        <w:tblInd w:w="0" w:type="dxa"/>
        <w:tblLayout w:type="fixed"/>
        <w:tblCellMar>
          <w:top w:w="28" w:type="dxa"/>
          <w:left w:w="28" w:type="dxa"/>
          <w:bottom w:w="28" w:type="dxa"/>
          <w:right w:w="28" w:type="dxa"/>
        </w:tblCellMar>
      </w:tblPr>
      <w:tblGrid>
        <w:gridCol w:w="1897"/>
        <w:gridCol w:w="1667"/>
        <w:gridCol w:w="1671"/>
        <w:gridCol w:w="296"/>
        <w:gridCol w:w="500"/>
        <w:gridCol w:w="165"/>
        <w:gridCol w:w="109"/>
        <w:gridCol w:w="109"/>
        <w:gridCol w:w="109"/>
        <w:gridCol w:w="283"/>
        <w:gridCol w:w="609"/>
        <w:gridCol w:w="158"/>
        <w:gridCol w:w="109"/>
        <w:gridCol w:w="109"/>
        <w:gridCol w:w="109"/>
        <w:gridCol w:w="196"/>
        <w:gridCol w:w="241"/>
        <w:gridCol w:w="109"/>
        <w:gridCol w:w="109"/>
        <w:gridCol w:w="109"/>
        <w:gridCol w:w="109"/>
        <w:gridCol w:w="196"/>
        <w:gridCol w:w="421"/>
        <w:gridCol w:w="154"/>
      </w:tblGrid>
      <w:tr>
        <w:trPr/>
        <w:tc>
          <w:tcPr>
            <w:tcW w:w="189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Commodity</w:t>
              <w:br/>
              <w:t>Derivative</w:t>
              <w:br/>
              <w:t>Instruments</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Rate</w:t>
              <w:br/>
              <w:t>Derivative</w:t>
              <w:br/>
              <w:t>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Accumulated Other Comprehensive Income (Loss), December 31, 2024</w:t>
            </w:r>
          </w:p>
        </w:tc>
        <w:tc>
          <w:tcPr>
            <w:tcW w:w="2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6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5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for period, before reclassifications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losses (gains) to net income during period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 for period</w:t>
            </w:r>
          </w:p>
        </w:tc>
        <w:tc>
          <w:tcPr>
            <w:tcW w:w="79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6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Accumulated Other Comprehensive Income (Loss), June 30, 2025</w:t>
            </w:r>
          </w:p>
        </w:tc>
        <w:tc>
          <w:tcPr>
            <w:tcW w:w="2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6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58"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5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reclassifications of (income) loss out of accumulated other comprehensive income (loss) into net income during the periods indicated:</w:t>
      </w:r>
    </w:p>
    <w:tbl>
      <w:tblPr>
        <w:tblW w:w="8997" w:type="dxa"/>
        <w:jc w:val="left"/>
        <w:tblInd w:w="0" w:type="dxa"/>
        <w:tblLayout w:type="fixed"/>
        <w:tblCellMar>
          <w:top w:w="28" w:type="dxa"/>
          <w:left w:w="28" w:type="dxa"/>
          <w:bottom w:w="28" w:type="dxa"/>
          <w:right w:w="28" w:type="dxa"/>
        </w:tblCellMar>
      </w:tblPr>
      <w:tblGrid>
        <w:gridCol w:w="956"/>
        <w:gridCol w:w="840"/>
        <w:gridCol w:w="844"/>
        <w:gridCol w:w="709"/>
        <w:gridCol w:w="709"/>
        <w:gridCol w:w="712"/>
        <w:gridCol w:w="109"/>
        <w:gridCol w:w="109"/>
        <w:gridCol w:w="109"/>
        <w:gridCol w:w="196"/>
        <w:gridCol w:w="421"/>
        <w:gridCol w:w="109"/>
        <w:gridCol w:w="109"/>
        <w:gridCol w:w="109"/>
        <w:gridCol w:w="109"/>
        <w:gridCol w:w="196"/>
        <w:gridCol w:w="406"/>
        <w:gridCol w:w="109"/>
        <w:gridCol w:w="109"/>
        <w:gridCol w:w="109"/>
        <w:gridCol w:w="109"/>
        <w:gridCol w:w="196"/>
        <w:gridCol w:w="421"/>
        <w:gridCol w:w="109"/>
        <w:gridCol w:w="109"/>
        <w:gridCol w:w="109"/>
        <w:gridCol w:w="109"/>
        <w:gridCol w:w="196"/>
        <w:gridCol w:w="40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Losses (gains) on cash flow hedges:</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w:t>
            </w:r>
          </w:p>
        </w:tc>
        <w:tc>
          <w:tcPr>
            <w:tcW w:w="213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information regarding our interest rate and commodity derivative instruments, see Note 13.</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Cash Distributions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7, 2026, we announced that the Board declared a quarterly cash distribution of $0.56 per common unit, or $2.24 per common unit on an annualized basis, to be paid to the Partnership’s common unitholders with respect to the second quarter of 2026. The quarterly distribution is payable on August 14, 2026 to unitholders of record as of the close of business on July 31, 2026. The total amount to be paid is $1.2 billion, which includes $12 million for distribution equivalent rights (“DERs”) on phantom unit awards.</w:t>
      </w:r>
    </w:p>
    <w:p>
      <w:pPr>
        <w:pStyle w:val="TextBody"/>
        <w:bidi w:val="0"/>
        <w:spacing w:lineRule="auto" w:line="288" w:before="0" w:after="480"/>
        <w:jc w:val="both"/>
        <w:rPr>
          <w:rFonts w:ascii="Times New Roman;serif" w:hAnsi="Times New Roman;serif"/>
          <w:b w:val="false"/>
          <w:color w:val="000000"/>
          <w:sz w:val="20"/>
        </w:rPr>
      </w:pPr>
      <w:r>
        <w:rPr>
          <w:rFonts w:ascii="Times New Roman;serif" w:hAnsi="Times New Roman;serif"/>
          <w:b w:val="false"/>
          <w:color w:val="000000"/>
          <w:sz w:val="20"/>
        </w:rPr>
        <w:t xml:space="preserve">The payment of quarterly cash distributions is subject to management’s evaluation of our financial condition, results of operations and cash flows in connection with such payments and Board approval. Management will evaluate any future increases in cash distributions on a quarterly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classify our revenues into sales of products and midstream services. Product sales relate primarily to our various marketing activities whereas midstream services represent our other integrated businesses (i.e., gathering, processing, transportation, fractionation, storage and terminaling). The following table presents our revenues by business segment, and further by revenue type, for the periods indicated:</w:t>
      </w:r>
    </w:p>
    <w:tbl>
      <w:tblPr>
        <w:tblW w:w="8573" w:type="dxa"/>
        <w:jc w:val="left"/>
        <w:tblInd w:w="0" w:type="dxa"/>
        <w:tblLayout w:type="fixed"/>
        <w:tblCellMar>
          <w:top w:w="28" w:type="dxa"/>
          <w:left w:w="28" w:type="dxa"/>
          <w:bottom w:w="28" w:type="dxa"/>
          <w:right w:w="28" w:type="dxa"/>
        </w:tblCellMar>
      </w:tblPr>
      <w:tblGrid>
        <w:gridCol w:w="1278"/>
        <w:gridCol w:w="1122"/>
        <w:gridCol w:w="1125"/>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NGL Pipelines &amp; Services:</w:t>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NGLs and related products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Segment midstream services: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processing and fractionation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Storage and terminals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midstream services</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1,522 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1,432 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NGL Pipelines &amp; Services</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9,266 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8,806 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Crude Oil Pipelines &amp; Services:</w:t>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crude oil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Segment midstream services: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Storage and terminals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midstream services</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Crude Oil Pipelines &amp; Services</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8,339 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4,783 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14,638 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9,904 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Natural Gas Pipelines &amp; Services:</w:t>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natural gas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Segment midstream services: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midstream services</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Natural Gas Pipelines &amp; Services</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1,766 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2,292 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Petrochemical &amp; Refined Products Services:</w:t>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petrochemicals and refined products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Segment midstream services: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Fractionation and isomerization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 including marine logistics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Storage and terminals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midstream services</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Petrochemical &amp; Refined Products Services</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4,037 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2,103 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6,985 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consolidated revenues</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18,269 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11,363 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32,655 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26,780 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rPr>
        <w:t xml:space="preserve">Substantially all of our revenues are derived from contracts with customers as defined within Accounting Standards Codification (“ASC”) 606, </w:t>
      </w:r>
      <w:r>
        <w:rPr>
          <w:rFonts w:ascii="Times New Roman;serif" w:hAnsi="Times New Roman;serif"/>
          <w:b w:val="false"/>
          <w:i/>
          <w:color w:val="000000"/>
          <w:sz w:val="20"/>
        </w:rPr>
        <w:t>Revenue from Contracts with Customers.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Unbilled Revenue and Deferred 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regarding our contract assets and contract liabilities at June 30, 2026:</w:t>
      </w:r>
    </w:p>
    <w:tbl>
      <w:tblPr>
        <w:tblW w:w="5783" w:type="dxa"/>
        <w:jc w:val="left"/>
        <w:tblInd w:w="0" w:type="dxa"/>
        <w:tblLayout w:type="fixed"/>
        <w:tblCellMar>
          <w:top w:w="28" w:type="dxa"/>
          <w:left w:w="28" w:type="dxa"/>
          <w:bottom w:w="28" w:type="dxa"/>
          <w:right w:w="28" w:type="dxa"/>
        </w:tblCellMar>
      </w:tblPr>
      <w:tblGrid>
        <w:gridCol w:w="924"/>
        <w:gridCol w:w="809"/>
        <w:gridCol w:w="816"/>
        <w:gridCol w:w="764"/>
        <w:gridCol w:w="764"/>
        <w:gridCol w:w="767"/>
        <w:gridCol w:w="242"/>
        <w:gridCol w:w="298"/>
        <w:gridCol w:w="136"/>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 Asset</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Unbilled revenue (current amount)</w:t>
            </w:r>
          </w:p>
        </w:tc>
        <w:tc>
          <w:tcPr>
            <w:tcW w:w="229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current assets</w:t>
            </w:r>
          </w:p>
        </w:tc>
        <w:tc>
          <w:tcPr>
            <w:tcW w:w="24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443" w:type="dxa"/>
        <w:jc w:val="left"/>
        <w:tblInd w:w="0" w:type="dxa"/>
        <w:tblLayout w:type="fixed"/>
        <w:tblCellMar>
          <w:top w:w="28" w:type="dxa"/>
          <w:left w:w="28" w:type="dxa"/>
          <w:bottom w:w="28" w:type="dxa"/>
          <w:right w:w="28" w:type="dxa"/>
        </w:tblCellMar>
      </w:tblPr>
      <w:tblGrid>
        <w:gridCol w:w="930"/>
        <w:gridCol w:w="814"/>
        <w:gridCol w:w="821"/>
        <w:gridCol w:w="629"/>
        <w:gridCol w:w="629"/>
        <w:gridCol w:w="631"/>
        <w:gridCol w:w="196"/>
        <w:gridCol w:w="421"/>
        <w:gridCol w:w="109"/>
        <w:gridCol w:w="109"/>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 Liability</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(current amount)</w:t>
            </w:r>
          </w:p>
        </w:tc>
        <w:tc>
          <w:tcPr>
            <w:tcW w:w="188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(noncurrent)</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significant changes in our unbilled revenue and deferred revenue balances for the six months ended June 30, 2026:</w:t>
      </w:r>
    </w:p>
    <w:tbl>
      <w:tblPr>
        <w:tblW w:w="7828" w:type="dxa"/>
        <w:jc w:val="left"/>
        <w:tblInd w:w="0" w:type="dxa"/>
        <w:tblLayout w:type="fixed"/>
        <w:tblCellMar>
          <w:top w:w="28" w:type="dxa"/>
          <w:left w:w="28" w:type="dxa"/>
          <w:bottom w:w="28" w:type="dxa"/>
          <w:right w:w="28" w:type="dxa"/>
        </w:tblCellMar>
      </w:tblPr>
      <w:tblGrid>
        <w:gridCol w:w="2163"/>
        <w:gridCol w:w="1908"/>
        <w:gridCol w:w="1913"/>
        <w:gridCol w:w="258"/>
        <w:gridCol w:w="318"/>
        <w:gridCol w:w="145"/>
        <w:gridCol w:w="109"/>
        <w:gridCol w:w="109"/>
        <w:gridCol w:w="109"/>
        <w:gridCol w:w="202"/>
        <w:gridCol w:w="434"/>
        <w:gridCol w:w="160"/>
      </w:tblGrid>
      <w:tr>
        <w:trPr/>
        <w:tc>
          <w:tcPr>
            <w:tcW w:w="216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Unbilled</w:t>
              <w:b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Deferred</w:t>
              <w:br/>
              <w:t>Revenue</w:t>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25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1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4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6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Amount included in opening balance transferred to other accounts during period (1)</w:t>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Amount recorded during period (2)</w:t>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recorded during period transferred to other accounts (1)</w:t>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changes</w:t>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25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1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4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4"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60"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(1)Unbilled revenues are transferred to accounts receivable once we have an unconditional right to consideration from the customer. Deferred revenues are recognized as revenue upon satisfaction of our performance obligation to the customer.</w:t>
      </w:r>
    </w:p>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(2)Unbilled revenue represents revenue that has been recognized upon satisfaction of a performance obligation, but cannot be contractually invoiced (or billed) to the customer at the balance sheet date until a future period. Deferred revenue is recorded when payment is received from a customer prior to our satisfaction of the associated performance obligation.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estimated fixed future consideration from revenue contracts that contain minimum volume commitments, deficiency and similar fees and the term of the contracts exceeds one year. These amounts represent the revenues we expect to recognize in future periods from these contracts as of June 30, 2026.</w:t>
      </w:r>
    </w:p>
    <w:tbl>
      <w:tblPr>
        <w:tblW w:w="4287" w:type="dxa"/>
        <w:jc w:val="left"/>
        <w:tblInd w:w="0" w:type="dxa"/>
        <w:tblLayout w:type="fixed"/>
        <w:tblCellMar>
          <w:top w:w="28" w:type="dxa"/>
          <w:left w:w="28" w:type="dxa"/>
          <w:bottom w:w="28" w:type="dxa"/>
          <w:right w:w="28" w:type="dxa"/>
        </w:tblCellMar>
      </w:tblPr>
      <w:tblGrid>
        <w:gridCol w:w="1006"/>
        <w:gridCol w:w="885"/>
        <w:gridCol w:w="898"/>
        <w:gridCol w:w="109"/>
        <w:gridCol w:w="109"/>
        <w:gridCol w:w="109"/>
        <w:gridCol w:w="230"/>
        <w:gridCol w:w="759"/>
        <w:gridCol w:w="182"/>
      </w:tblGrid>
      <w:tr>
        <w:trPr/>
        <w:tc>
          <w:tcPr>
            <w:tcW w:w="100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w:t>
              <w:br/>
              <w:t>Consideration</w:t>
            </w:r>
          </w:p>
        </w:tc>
      </w:tr>
      <w:tr>
        <w:trPr/>
        <w:tc>
          <w:tcPr>
            <w:tcW w:w="278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Six months ended December 31, 2026</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2,344 </w:t>
            </w:r>
          </w:p>
        </w:tc>
        <w:tc>
          <w:tcPr>
            <w:tcW w:w="18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One year ended 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One year ended December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One year ended December 31,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One year ended December 31,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25,935 </w:t>
            </w:r>
          </w:p>
        </w:tc>
        <w:tc>
          <w:tcPr>
            <w:tcW w:w="182"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Business Segments and Related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reported under four business segments: (i) NGL Pipelines &amp; Services, (ii) Crude Oil Pipelines &amp; Services, (iii) Natural Gas Pipelines &amp; Services and (iv) Petrochemical &amp; Refined Products Services. Our business segments are generally organized and managed according to the types of services rendered (or technologies employed) and products produced and/or sold.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Financial information regarding these segments is evaluated regularly by our co-chief operating decision makers (“CODMs”) in deciding how to allocate resources and in assessing our operating and financial performance. The co-principal executive officers of our general partner have been identified as our CODMs.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information summarizes the assets and operations of each business segment: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NGL Pipelines &amp; Services business segment includes our natural gas processing and related NGL marketing activities, NGL pipelines, NGL fractionation facilities, NGL and related product storage facilities, and NGL marine terminals.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Crude Oil Pipelines &amp; Services business segment includes our crude oil pipelines, crude oil storage and marine terminals, and related crude oil marketing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Natural Gas Pipelines &amp; Services business segment includes our natural gas pipeline systems that provide for the gathering, treating and transportation of natural gas. This segment also includes our natural gas marketing activities.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Petrochemical &amp; Refined Products Services business segment includes our (i) propylene production facilities, which include propylene fractionation units and PDH facilities, and related pipelines and marketing activities, (ii) butane isomerization complex and related deisobutanizer operations, (iii) octane enhancement, iBDH and HPIB production facilities, (iv) refined products pipelines, terminals and related marketing activities, (v) ethylene export terminal and related operations; and (vi) marine transportation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plants, pipelines and other fixed assets are located in the U.S.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Segment Gross Operating Margin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CODMs evaluate segment performance based on our financial measure of gross operating margin. Gross operating margin is an important performance measure of the core profitability of our operations, forms the basis of our internal financial reporting, and is used by our CODMs on a monthly basis to monitor budgeted versus actual results. Our CODMs also consider gross operating margin results, in part, when determining how to allocate resources (e.g., employees and capital investments) to each segment, primarily in the annual budget process. We believe that investors benefit from having access to the same financial measures that our management uses in evaluating segment results. Gross operating margin is exclusive of other income and expense transactions, income taxes, the cumulative effect of changes in accounting principles and extraordinary charges. Gross operating margin is presented on a 100% basis before any allocation of earnings to noncontrolling interests. Our calculation of gross operating margin may or may not be comparable to similarly titled measures used by other companies.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total segment gross operating margin to income before income taxes for the periods indicated:</w:t>
      </w:r>
    </w:p>
    <w:tbl>
      <w:tblPr>
        <w:tblW w:w="10205" w:type="dxa"/>
        <w:jc w:val="left"/>
        <w:tblInd w:w="0" w:type="dxa"/>
        <w:tblLayout w:type="fixed"/>
        <w:tblCellMar>
          <w:top w:w="28" w:type="dxa"/>
          <w:left w:w="28" w:type="dxa"/>
          <w:bottom w:w="28" w:type="dxa"/>
          <w:right w:w="28" w:type="dxa"/>
        </w:tblCellMar>
      </w:tblPr>
      <w:tblGrid>
        <w:gridCol w:w="2140"/>
        <w:gridCol w:w="1680"/>
        <w:gridCol w:w="1696"/>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55"/>
      </w:tblGrid>
      <w:tr>
        <w:trPr/>
        <w:tc>
          <w:tcPr>
            <w:tcW w:w="214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5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gross operating margin</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total segment gross operating margin to income before income taxes (addition or subtraction indicated by sign):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 expense in operating costs and expenses (1)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charges in operating costs and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attributable to asset sales and related matters in operating costs and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Non-refundable payments received from shippers attributable to make-up rights (2)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Subsequent recognition of revenues attributable to make-up rights (3)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 net (4)</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1,470 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3,386 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2,900 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16"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(1)Excludes amortization of major maintenance costs for reaction-based plants and amortization of finance lease right-of-use (“ROU”) assets, which are components of gross operating margin.</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(2)Since make-up rights entail a future performance obligation by the pipeline to the shipper, these receipts are recorded as deferred revenue for GAAP purposes; however, these receipts are included in gross operating margin in the period of receipt since they are non-refundable to the shipper.</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(3)As deferred revenues attributable to make-up rights are subsequently recognized as revenue under GAAP, gross operating margin must be adjusted to remove such amounts to prevent duplication since the associated non-refundable payments were previously included in gross operating margin.</w:t>
      </w:r>
    </w:p>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(4)As presented on our Unaudited Condensed Statements of Consolidated Operations, Total other expense, net is comprised of Interest expense, Interest income and Other,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Summarized Segment Financial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segment revenues and significant segment expenses by segment, together with a reconciliation to segment gross operating margin, for the periods indicated:</w:t>
      </w:r>
    </w:p>
    <w:tbl>
      <w:tblPr>
        <w:tblW w:w="9432" w:type="dxa"/>
        <w:jc w:val="left"/>
        <w:tblInd w:w="0" w:type="dxa"/>
        <w:tblLayout w:type="fixed"/>
        <w:tblCellMar>
          <w:top w:w="28" w:type="dxa"/>
          <w:left w:w="28" w:type="dxa"/>
          <w:bottom w:w="28" w:type="dxa"/>
          <w:right w:w="28" w:type="dxa"/>
        </w:tblCellMar>
      </w:tblPr>
      <w:tblGrid>
        <w:gridCol w:w="1173"/>
        <w:gridCol w:w="1031"/>
        <w:gridCol w:w="1036"/>
        <w:gridCol w:w="198"/>
        <w:gridCol w:w="562"/>
        <w:gridCol w:w="111"/>
        <w:gridCol w:w="109"/>
        <w:gridCol w:w="109"/>
        <w:gridCol w:w="109"/>
        <w:gridCol w:w="198"/>
        <w:gridCol w:w="562"/>
        <w:gridCol w:w="111"/>
        <w:gridCol w:w="109"/>
        <w:gridCol w:w="109"/>
        <w:gridCol w:w="109"/>
        <w:gridCol w:w="271"/>
        <w:gridCol w:w="583"/>
        <w:gridCol w:w="151"/>
        <w:gridCol w:w="109"/>
        <w:gridCol w:w="109"/>
        <w:gridCol w:w="109"/>
        <w:gridCol w:w="259"/>
        <w:gridCol w:w="736"/>
        <w:gridCol w:w="146"/>
        <w:gridCol w:w="109"/>
        <w:gridCol w:w="109"/>
        <w:gridCol w:w="109"/>
        <w:gridCol w:w="196"/>
        <w:gridCol w:w="64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NGL</w:t>
              <w:br/>
              <w:t>Pipelines</w:t>
              <w:br/>
              <w:t>&amp; Services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Crude Oil</w:t>
              <w:br/>
              <w:t>Pipelines</w:t>
              <w:br/>
              <w:t>&amp; Services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Natural Gas</w:t>
              <w:br/>
              <w:t>Pipelines</w:t>
              <w:br/>
              <w:t>&amp; Services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Petrochemical</w:t>
              <w:br/>
              <w:t>&amp; Refined</w:t>
              <w:br/>
              <w:t>Products</w:t>
              <w:br/>
              <w:t>Services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br/>
              <w:t>Total</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Segment revenues:</w:t>
            </w:r>
          </w:p>
        </w:tc>
        <w:tc>
          <w:tcPr>
            <w:tcW w:w="87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third parties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related parties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and intrasegment revenues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revenues</w:t>
            </w:r>
          </w:p>
        </w:tc>
        <w:tc>
          <w:tcPr>
            <w:tcW w:w="76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23,921 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25,260 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892 </w:t>
            </w:r>
          </w:p>
        </w:tc>
        <w:tc>
          <w:tcPr>
            <w:tcW w:w="15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13,483 </w:t>
            </w:r>
          </w:p>
        </w:tc>
        <w:tc>
          <w:tcPr>
            <w:tcW w:w="14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63,556 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Significant segment expenses: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operating costs and expenses (1)</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Fixed operating costs and expenses (2)</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significant segment expenses</w:t>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22,410 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24,874 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5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13,069 </w:t>
            </w:r>
          </w:p>
        </w:tc>
        <w:tc>
          <w:tcPr>
            <w:tcW w:w="14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60,693 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Other segment income (expense):</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of unconsolidated affiliates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(3)</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segment income</w:t>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4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segment gross operating margin</w:t>
            </w:r>
          </w:p>
        </w:tc>
        <w:tc>
          <w:tcPr>
            <w:tcW w:w="19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1,545 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5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4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financial information:</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(1)Variable operating costs and expenses represent the cost of operating our plants, pipelines and other fixed assets that generally fluctuate based on utilization. </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(2)Fixed operating costs and expenses represent the cost of operating our plants, pipelines and other fixed assets that generally remain constant independent of utilization.</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(3)Other segment items for each segment primarily represent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NGL Pipelines &amp; Services – Non-refundable payments received from shippers attributable to make-up rights and subsequent recognition of revenues attributable to make-up rights.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Crude Oil Pipelines &amp; Services – Other miscellaneous segment items.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Natural Gas Pipelines &amp; Services – Other miscellaneous segment items.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16"/>
        </w:rPr>
        <w:t>Petrochemical &amp; Refined Products Services – Other miscellaneous segment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tbl>
      <w:tblPr>
        <w:tblW w:w="9512" w:type="dxa"/>
        <w:jc w:val="left"/>
        <w:tblInd w:w="0" w:type="dxa"/>
        <w:tblLayout w:type="fixed"/>
        <w:tblCellMar>
          <w:top w:w="28" w:type="dxa"/>
          <w:left w:w="28" w:type="dxa"/>
          <w:bottom w:w="28" w:type="dxa"/>
          <w:right w:w="28" w:type="dxa"/>
        </w:tblCellMar>
      </w:tblPr>
      <w:tblGrid>
        <w:gridCol w:w="1173"/>
        <w:gridCol w:w="1031"/>
        <w:gridCol w:w="1036"/>
        <w:gridCol w:w="198"/>
        <w:gridCol w:w="562"/>
        <w:gridCol w:w="111"/>
        <w:gridCol w:w="109"/>
        <w:gridCol w:w="109"/>
        <w:gridCol w:w="109"/>
        <w:gridCol w:w="196"/>
        <w:gridCol w:w="646"/>
        <w:gridCol w:w="109"/>
        <w:gridCol w:w="109"/>
        <w:gridCol w:w="109"/>
        <w:gridCol w:w="109"/>
        <w:gridCol w:w="228"/>
        <w:gridCol w:w="649"/>
        <w:gridCol w:w="128"/>
        <w:gridCol w:w="109"/>
        <w:gridCol w:w="109"/>
        <w:gridCol w:w="109"/>
        <w:gridCol w:w="259"/>
        <w:gridCol w:w="736"/>
        <w:gridCol w:w="146"/>
        <w:gridCol w:w="109"/>
        <w:gridCol w:w="109"/>
        <w:gridCol w:w="109"/>
        <w:gridCol w:w="196"/>
        <w:gridCol w:w="64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NGL</w:t>
              <w:br/>
              <w:t>Pipelines</w:t>
              <w:br/>
              <w:t>&amp; Services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Crude Oil</w:t>
              <w:br/>
              <w:t>Pipelines</w:t>
              <w:br/>
              <w:t>&amp; Services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Natural Gas</w:t>
              <w:br/>
              <w:t>Pipelines</w:t>
              <w:br/>
              <w:t>&amp; Services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Petrochemical</w:t>
              <w:br/>
              <w:t>&amp; Refined</w:t>
              <w:br/>
              <w:t>Products</w:t>
              <w:br/>
              <w:t>Services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br/>
              <w:t>Total</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Segment revenues:</w:t>
            </w:r>
          </w:p>
        </w:tc>
        <w:tc>
          <w:tcPr>
            <w:tcW w:w="87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third parties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6,985 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related parties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and intrasegment revenues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revenues</w:t>
            </w:r>
          </w:p>
        </w:tc>
        <w:tc>
          <w:tcPr>
            <w:tcW w:w="76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44,501 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43,286 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2,351 </w:t>
            </w:r>
          </w:p>
        </w:tc>
        <w:tc>
          <w:tcPr>
            <w:tcW w:w="12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21,349 </w:t>
            </w:r>
          </w:p>
        </w:tc>
        <w:tc>
          <w:tcPr>
            <w:tcW w:w="14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111,487 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Significant segment expenses: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operating costs and expenses (1)</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Fixed operating costs and expenses (2)</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significant segment expenses</w:t>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41,533 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42,638 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1,304 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20,626 </w:t>
            </w:r>
          </w:p>
        </w:tc>
        <w:tc>
          <w:tcPr>
            <w:tcW w:w="14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106,101 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segment income:</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of unconsolidated affiliates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(3)</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segment income</w:t>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4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segment gross operating margin</w:t>
            </w:r>
          </w:p>
        </w:tc>
        <w:tc>
          <w:tcPr>
            <w:tcW w:w="19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3,048 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2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4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5,646 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financial information:</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(1)Variable operating costs and expenses represent the cost of operating our plants, pipelines and other fixed assets that generally fluctuate based on utilization. </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(2)Fixed operating costs and expenses represent the cost of operating our plants, pipelines and other fixed assets that generally remain constant independent of utilization.</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(3)Other segment items for each segment primarily represent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NGL Pipelines &amp; Services – Non-refundable payments received from shippers attributable to make-up rights, subsequent recognition of revenues attributable to make-up rights, and other miscellaneous segment items.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Crude Oil Pipelines &amp; Services – Other miscellaneous segment items.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Natural Gas Pipelines &amp; Services – Other miscellaneous segment items.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16"/>
        </w:rPr>
        <w:t>Petrochemical &amp; Refined Products Services – Other miscellaneous segment items.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tbl>
      <w:tblPr>
        <w:tblW w:w="9432" w:type="dxa"/>
        <w:jc w:val="left"/>
        <w:tblInd w:w="0" w:type="dxa"/>
        <w:tblLayout w:type="fixed"/>
        <w:tblCellMar>
          <w:top w:w="28" w:type="dxa"/>
          <w:left w:w="28" w:type="dxa"/>
          <w:bottom w:w="28" w:type="dxa"/>
          <w:right w:w="28" w:type="dxa"/>
        </w:tblCellMar>
      </w:tblPr>
      <w:tblGrid>
        <w:gridCol w:w="1173"/>
        <w:gridCol w:w="1031"/>
        <w:gridCol w:w="1036"/>
        <w:gridCol w:w="198"/>
        <w:gridCol w:w="562"/>
        <w:gridCol w:w="111"/>
        <w:gridCol w:w="109"/>
        <w:gridCol w:w="109"/>
        <w:gridCol w:w="109"/>
        <w:gridCol w:w="198"/>
        <w:gridCol w:w="562"/>
        <w:gridCol w:w="111"/>
        <w:gridCol w:w="109"/>
        <w:gridCol w:w="109"/>
        <w:gridCol w:w="109"/>
        <w:gridCol w:w="228"/>
        <w:gridCol w:w="649"/>
        <w:gridCol w:w="128"/>
        <w:gridCol w:w="109"/>
        <w:gridCol w:w="109"/>
        <w:gridCol w:w="109"/>
        <w:gridCol w:w="259"/>
        <w:gridCol w:w="736"/>
        <w:gridCol w:w="146"/>
        <w:gridCol w:w="109"/>
        <w:gridCol w:w="109"/>
        <w:gridCol w:w="109"/>
        <w:gridCol w:w="196"/>
        <w:gridCol w:w="64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NGL</w:t>
              <w:br/>
              <w:t>Pipelines</w:t>
              <w:br/>
              <w:t>&amp; Services</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Crude Oil</w:t>
              <w:br/>
              <w:t>Pipelines</w:t>
              <w:br/>
              <w:t>&amp; Services</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Natural Gas</w:t>
              <w:br/>
              <w:t>Pipelines</w:t>
              <w:br/>
              <w:t>&amp; Services</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Petrochemical</w:t>
              <w:br/>
              <w:t>&amp; Refined</w:t>
              <w:br/>
              <w:t>Products</w:t>
              <w:br/>
              <w:t>Services</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br/>
              <w:t>Total</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Segment revenues:</w:t>
            </w:r>
          </w:p>
        </w:tc>
        <w:tc>
          <w:tcPr>
            <w:tcW w:w="87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third parties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related parties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and intrasegment revenues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revenues</w:t>
            </w:r>
          </w:p>
        </w:tc>
        <w:tc>
          <w:tcPr>
            <w:tcW w:w="76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20,410 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14,107 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1,273 </w:t>
            </w:r>
          </w:p>
        </w:tc>
        <w:tc>
          <w:tcPr>
            <w:tcW w:w="12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7,900 </w:t>
            </w:r>
          </w:p>
        </w:tc>
        <w:tc>
          <w:tcPr>
            <w:tcW w:w="14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43,690 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Significant segment expenses: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operating costs and expenses (1)</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Fixed operating costs and expenses (2)</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significant segment expenses</w:t>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19,133 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13,782 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7,549 </w:t>
            </w:r>
          </w:p>
        </w:tc>
        <w:tc>
          <w:tcPr>
            <w:tcW w:w="14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41,323 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Other segment income:</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of unconsolidated affiliates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(3)</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Total other segment income</w:t>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segment gross operating margin</w:t>
            </w:r>
          </w:p>
        </w:tc>
        <w:tc>
          <w:tcPr>
            <w:tcW w:w="19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2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4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2,471 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financial information:</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(1)Variable operating costs and expenses represent the cost of operating our plants, pipelines and other fixed assets that generally fluctuate based on utilization.</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(2)Fixed operating costs and expenses represent the cost of operating our plants, pipelines and other fixed assets that generally remain constant independent of utilization.</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(3)Other segment items for each segment primarily represent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NGL Pipelines &amp; Services – Non-refundable payments received from shippers attributable to make-up rights, subsequent recognition of revenues attributable to make-up rights, and other miscellaneous segment items.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Crude Oil Pipelines &amp; Services – Other miscellaneous segment items.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Natural Gas Pipelines &amp; Services – Other miscellaneous segment items.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16"/>
        </w:rPr>
        <w:t>Petrochemical &amp; Refined Products Services – Other miscellaneous segment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tbl>
      <w:tblPr>
        <w:tblW w:w="9432" w:type="dxa"/>
        <w:jc w:val="left"/>
        <w:tblInd w:w="0" w:type="dxa"/>
        <w:tblLayout w:type="fixed"/>
        <w:tblCellMar>
          <w:top w:w="28" w:type="dxa"/>
          <w:left w:w="28" w:type="dxa"/>
          <w:bottom w:w="28" w:type="dxa"/>
          <w:right w:w="28" w:type="dxa"/>
        </w:tblCellMar>
      </w:tblPr>
      <w:tblGrid>
        <w:gridCol w:w="1173"/>
        <w:gridCol w:w="1031"/>
        <w:gridCol w:w="1036"/>
        <w:gridCol w:w="198"/>
        <w:gridCol w:w="562"/>
        <w:gridCol w:w="111"/>
        <w:gridCol w:w="109"/>
        <w:gridCol w:w="109"/>
        <w:gridCol w:w="109"/>
        <w:gridCol w:w="198"/>
        <w:gridCol w:w="562"/>
        <w:gridCol w:w="111"/>
        <w:gridCol w:w="109"/>
        <w:gridCol w:w="109"/>
        <w:gridCol w:w="109"/>
        <w:gridCol w:w="228"/>
        <w:gridCol w:w="649"/>
        <w:gridCol w:w="128"/>
        <w:gridCol w:w="109"/>
        <w:gridCol w:w="109"/>
        <w:gridCol w:w="109"/>
        <w:gridCol w:w="259"/>
        <w:gridCol w:w="736"/>
        <w:gridCol w:w="146"/>
        <w:gridCol w:w="109"/>
        <w:gridCol w:w="109"/>
        <w:gridCol w:w="109"/>
        <w:gridCol w:w="196"/>
        <w:gridCol w:w="64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NGL</w:t>
              <w:br/>
              <w:t>Pipelines</w:t>
              <w:br/>
              <w:t>&amp; Services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Crude Oil</w:t>
              <w:br/>
              <w:t>Pipelines</w:t>
              <w:br/>
              <w:t>&amp; Services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Natural Gas</w:t>
              <w:br/>
              <w:t>Pipelines</w:t>
              <w:br/>
              <w:t>&amp; Services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Petrochemical</w:t>
              <w:br/>
              <w:t>&amp; Refined</w:t>
              <w:br/>
              <w:t>Products</w:t>
              <w:br/>
              <w:t>Services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br/>
              <w:t>Total</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Segment revenues:</w:t>
            </w:r>
          </w:p>
        </w:tc>
        <w:tc>
          <w:tcPr>
            <w:tcW w:w="87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third parties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related parties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and intrasegment revenues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revenues</w:t>
            </w:r>
          </w:p>
        </w:tc>
        <w:tc>
          <w:tcPr>
            <w:tcW w:w="76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42,827 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29,850 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2,726 </w:t>
            </w:r>
          </w:p>
        </w:tc>
        <w:tc>
          <w:tcPr>
            <w:tcW w:w="12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18,770 </w:t>
            </w:r>
          </w:p>
        </w:tc>
        <w:tc>
          <w:tcPr>
            <w:tcW w:w="14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94,173 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Significant segment expenses: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operating costs and expenses (1)</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Fixed operating costs and expenses (2)</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significant segment expenses</w:t>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40,188 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29,225 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1,957 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18,105 </w:t>
            </w:r>
          </w:p>
        </w:tc>
        <w:tc>
          <w:tcPr>
            <w:tcW w:w="14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89,475 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segment income (expense):</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of unconsolidated affiliates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(3)</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segment income</w:t>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1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4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segment gross operating margin</w:t>
            </w:r>
          </w:p>
        </w:tc>
        <w:tc>
          <w:tcPr>
            <w:tcW w:w="19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2,715 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1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2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4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4,935 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financial information:</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(1)Variable operating costs and expenses represent the cost of operating our plants, pipelines and other fixed assets that generally fluctuate based on utilization.</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(2)Fixed operating costs and expenses represent the cost of operating our plants, pipelines and other fixed assets that generally remain constant independent of utilization.</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(3)Other segment items for each segment primarily represent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NGL Pipelines &amp; Services – Non-refundable payments received from shippers attributable to make-up rights, subsequent recognition of revenues attributable to make-up rights, and other miscellaneous segment items.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Crude Oil Pipelines &amp; Services – Other miscellaneous segment items.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Natural Gas Pipelines &amp; Services – Other miscellaneous segment items.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16"/>
        </w:rPr>
        <w:t>Petrochemical &amp; Refined Products Services – Other miscellaneous segment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Segment revenues include intersegment and intrasegment transactions, which are generally based on transactions made at market-based rates. Our consolidated revenues reflect the elimination of intercompany transactions. The following table reconciles total segment revenues as reported in the preceding tables to consolidated revenues as presented on our Unaudited Condensed Statements of Consolidated Operations:</w:t>
      </w:r>
    </w:p>
    <w:tbl>
      <w:tblPr>
        <w:tblW w:w="9158" w:type="dxa"/>
        <w:jc w:val="left"/>
        <w:tblInd w:w="0" w:type="dxa"/>
        <w:tblLayout w:type="fixed"/>
        <w:tblCellMar>
          <w:top w:w="28" w:type="dxa"/>
          <w:left w:w="28" w:type="dxa"/>
          <w:bottom w:w="28" w:type="dxa"/>
          <w:right w:w="28" w:type="dxa"/>
        </w:tblCellMar>
      </w:tblPr>
      <w:tblGrid>
        <w:gridCol w:w="1488"/>
        <w:gridCol w:w="1308"/>
        <w:gridCol w:w="1314"/>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Segment revenues:</w:t>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Pipelines &amp;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Pipelines &amp;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Pipelines &amp;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Petrochemical &amp; Refined Products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segment revenues</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63,556 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43,690 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111,487 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94,173 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Elimination of intersegment and intrasegment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consolidated revenues</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18,269 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11,363 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32,655 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26,780 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Segment expenses represent operating costs and expenses exclusive of (i) depreciation, amortization and accretion expenses (excluding amortization of major maintenance costs for reaction-based plants and amortization of finance lease right-of-use assets), (ii) impairment charges, and (iii) gains and losses attributable to asset sales and related matters. Segment expense presented in the tables above include intersegment and intrasegment transactions, which are generally based on transactions made at market-based rates. Additionally, the significant segment expense categories presented align with the manner in which our CODMs evaluate segment results. Our consolidated operating costs and expenses are inclusive of the aforementioned adjustments and reflect the elimination of intercompany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segment assets, together with a reconciliation to our consolidated total assets, at the dates indicated:</w:t>
      </w:r>
    </w:p>
    <w:tbl>
      <w:tblPr>
        <w:tblW w:w="5537" w:type="dxa"/>
        <w:jc w:val="left"/>
        <w:tblInd w:w="0" w:type="dxa"/>
        <w:tblLayout w:type="fixed"/>
        <w:tblCellMar>
          <w:top w:w="28" w:type="dxa"/>
          <w:left w:w="28" w:type="dxa"/>
          <w:bottom w:w="28" w:type="dxa"/>
          <w:right w:w="28" w:type="dxa"/>
        </w:tblCellMar>
      </w:tblPr>
      <w:tblGrid>
        <w:gridCol w:w="1129"/>
        <w:gridCol w:w="991"/>
        <w:gridCol w:w="999"/>
        <w:gridCol w:w="196"/>
        <w:gridCol w:w="646"/>
        <w:gridCol w:w="109"/>
        <w:gridCol w:w="109"/>
        <w:gridCol w:w="109"/>
        <w:gridCol w:w="109"/>
        <w:gridCol w:w="224"/>
        <w:gridCol w:w="740"/>
        <w:gridCol w:w="176"/>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Pipelines &amp; Services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25,728 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24,999 </w:t>
            </w:r>
          </w:p>
        </w:tc>
        <w:tc>
          <w:tcPr>
            <w:tcW w:w="17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Pipelines &amp;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Pipelines &amp;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Petrochemical &amp; Refined Products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segment assets</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61,998 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61,015 </w:t>
            </w:r>
          </w:p>
        </w:tc>
        <w:tc>
          <w:tcPr>
            <w:tcW w:w="17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in progress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Consolidated total assets</w:t>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81,758 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77,902 </w:t>
            </w:r>
          </w:p>
        </w:tc>
        <w:tc>
          <w:tcPr>
            <w:tcW w:w="17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Supplemental Revenue and Expense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regarding our consolidated revenues and costs and expenses for the periods indicated:</w:t>
      </w:r>
    </w:p>
    <w:tbl>
      <w:tblPr>
        <w:tblW w:w="8888" w:type="dxa"/>
        <w:jc w:val="left"/>
        <w:tblInd w:w="0" w:type="dxa"/>
        <w:tblLayout w:type="fixed"/>
        <w:tblCellMar>
          <w:top w:w="28" w:type="dxa"/>
          <w:left w:w="28" w:type="dxa"/>
          <w:bottom w:w="28" w:type="dxa"/>
          <w:right w:w="28" w:type="dxa"/>
        </w:tblCellMar>
      </w:tblPr>
      <w:tblGrid>
        <w:gridCol w:w="1391"/>
        <w:gridCol w:w="1220"/>
        <w:gridCol w:w="122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Consolidated revenues:</w:t>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Pipelines &amp;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Pipelines &amp;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Pipelines &amp;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Petrochemical &amp; Refined Products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consolidated revenues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18,269 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11,363 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32,655 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26,780 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Consolidated costs and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costs and expenses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attributable to asset sales and related matters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consolidated costs and expenses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16,129 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9,660 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28,696 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23,410 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(1)Represents the cost of operating our plants, pipelines and other fixed assets excluding depreciation, amortization and accretion charges; asset impairment charges; and net losses (gains) attributable to asset sales and related matters.</w:t>
      </w:r>
    </w:p>
    <w:p>
      <w:pPr>
        <w:pStyle w:val="TextBody"/>
        <w:bidi w:val="0"/>
        <w:spacing w:lineRule="auto" w:line="288" w:before="0" w:after="480"/>
        <w:jc w:val="both"/>
        <w:rPr>
          <w:rFonts w:ascii="Times New Roman;serif" w:hAnsi="Times New Roman;serif"/>
          <w:b w:val="false"/>
          <w:color w:val="000000"/>
          <w:sz w:val="20"/>
        </w:rPr>
      </w:pPr>
      <w:r>
        <w:rPr>
          <w:rFonts w:ascii="Times New Roman;serif" w:hAnsi="Times New Roman;serif"/>
          <w:b w:val="false"/>
          <w:color w:val="000000"/>
          <w:sz w:val="20"/>
        </w:rPr>
        <w:t>Fluctuations in our product sales revenues and cost of sales amounts are explained in large part by changes in energy commodity prices. In general, higher energy commodity prices result in an increase in our revenues attributable to product sales; however, these higher commodity prices would also be expected to increase the associated cost of sales as purchase costs are higher. The same type of relationship would be true in the case of lower energy commodity sales prices and purchase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Earnings Per Unit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calculation of basic and diluted earnings per common unit for the periods indicated:</w:t>
      </w:r>
    </w:p>
    <w:tbl>
      <w:tblPr>
        <w:tblW w:w="9113" w:type="dxa"/>
        <w:jc w:val="left"/>
        <w:tblInd w:w="0" w:type="dxa"/>
        <w:tblLayout w:type="fixed"/>
        <w:tblCellMar>
          <w:top w:w="28" w:type="dxa"/>
          <w:left w:w="28" w:type="dxa"/>
          <w:bottom w:w="28" w:type="dxa"/>
          <w:right w:w="28" w:type="dxa"/>
        </w:tblCellMar>
      </w:tblPr>
      <w:tblGrid>
        <w:gridCol w:w="1604"/>
        <w:gridCol w:w="1406"/>
        <w:gridCol w:w="1415"/>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54"/>
      </w:tblGrid>
      <w:tr>
        <w:trPr/>
        <w:tc>
          <w:tcPr>
            <w:tcW w:w="160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BASIC EARNINGS PER COMMON UNIT</w:t>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unitholders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allocated to phantom unit awards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allocated to common unitholders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weighted-average number of common units outstanding</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common unit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DILUTED EARNINGS PER COMMON UNIT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unitholders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preferred units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limited partners</w:t>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1,841 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1,436 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3,324 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2,830 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weighted-average number of units outstanding:</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Distribution-bearing common units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Phantom units (2)</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units (2)</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common unit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(1)Phantom units are considered participating securities for purposes of computing basic earnings per unit. See Note 12 for information regarding our phantom units.</w:t>
      </w:r>
    </w:p>
    <w:p>
      <w:pPr>
        <w:pStyle w:val="TextBody"/>
        <w:bidi w:val="0"/>
        <w:spacing w:lineRule="auto" w:line="288" w:before="0" w:after="48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(2)We use the “if-converted method” to determine the potential dilutive effect of the vesting of phantom unit awards and the conversion of preferred units outstanding. See Note 12 for information regarding phantom unit awards. See Note 8 for information regarding preferred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12. Equity-Based Awards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 allocated portion of the fair value of EPCO’s equity-based awards is charged to us under the ASA. The following table summarizes compensation expense we recognized in connection with equity-based awards for the periods indicated:</w:t>
      </w:r>
    </w:p>
    <w:tbl>
      <w:tblPr>
        <w:tblW w:w="5905" w:type="dxa"/>
        <w:jc w:val="left"/>
        <w:tblInd w:w="0" w:type="dxa"/>
        <w:tblLayout w:type="fixed"/>
        <w:tblCellMar>
          <w:top w:w="28" w:type="dxa"/>
          <w:left w:w="28" w:type="dxa"/>
          <w:bottom w:w="28" w:type="dxa"/>
          <w:right w:w="28" w:type="dxa"/>
        </w:tblCellMar>
      </w:tblPr>
      <w:tblGrid>
        <w:gridCol w:w="701"/>
        <w:gridCol w:w="616"/>
        <w:gridCol w:w="618"/>
        <w:gridCol w:w="207"/>
        <w:gridCol w:w="351"/>
        <w:gridCol w:w="115"/>
        <w:gridCol w:w="115"/>
        <w:gridCol w:w="115"/>
        <w:gridCol w:w="115"/>
        <w:gridCol w:w="207"/>
        <w:gridCol w:w="351"/>
        <w:gridCol w:w="115"/>
        <w:gridCol w:w="109"/>
        <w:gridCol w:w="109"/>
        <w:gridCol w:w="109"/>
        <w:gridCol w:w="196"/>
        <w:gridCol w:w="421"/>
        <w:gridCol w:w="109"/>
        <w:gridCol w:w="109"/>
        <w:gridCol w:w="109"/>
        <w:gridCol w:w="109"/>
        <w:gridCol w:w="196"/>
        <w:gridCol w:w="331"/>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Equity-classified awards:</w:t>
            </w:r>
          </w:p>
        </w:tc>
        <w:tc>
          <w:tcPr>
            <w:tcW w:w="673"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Phantom unit awards</w:t>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equity-classified awards is amortized to earnings over the requisite service or vesting period. Equity-classified awards are expected to result in the issuance of the Partnership’s common units upon vesting.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Phantom Unit Awards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Subject to customary forfeiture provisions, phantom unit awards allow recipients to acquire the Partnership’s common units once a defined vesting period expires (at no cost to the recipient apart from fulfilling required service and other conditions). The following table presents phantom unit award activity for the period indicated:</w:t>
      </w:r>
    </w:p>
    <w:tbl>
      <w:tblPr>
        <w:tblW w:w="5904" w:type="dxa"/>
        <w:jc w:val="left"/>
        <w:tblInd w:w="0" w:type="dxa"/>
        <w:tblLayout w:type="fixed"/>
        <w:tblCellMar>
          <w:top w:w="28" w:type="dxa"/>
          <w:left w:w="28" w:type="dxa"/>
          <w:bottom w:w="28" w:type="dxa"/>
          <w:right w:w="28" w:type="dxa"/>
        </w:tblCellMar>
      </w:tblPr>
      <w:tblGrid>
        <w:gridCol w:w="1198"/>
        <w:gridCol w:w="1056"/>
        <w:gridCol w:w="1060"/>
        <w:gridCol w:w="313"/>
        <w:gridCol w:w="313"/>
        <w:gridCol w:w="318"/>
        <w:gridCol w:w="109"/>
        <w:gridCol w:w="109"/>
        <w:gridCol w:w="109"/>
        <w:gridCol w:w="285"/>
        <w:gridCol w:w="810"/>
        <w:gridCol w:w="224"/>
      </w:tblGrid>
      <w:tr>
        <w:trPr/>
        <w:tc>
          <w:tcPr>
            <w:tcW w:w="119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per Unit (1)</w:t>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Phantom unit awards at December 31, 2025</w:t>
            </w:r>
          </w:p>
        </w:tc>
        <w:tc>
          <w:tcPr>
            <w:tcW w:w="94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20,581,966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22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Granted (4)</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8,088,595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(7,295,064)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(259,981)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Phantom unit awards at June 30, 2026</w:t>
            </w:r>
          </w:p>
        </w:tc>
        <w:tc>
          <w:tcPr>
            <w:tcW w:w="94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21,115,516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(1)Determined by dividing the aggregate grant date fair value of awards (before an allowance for forfeitures) by the number of awards issued.</w:t>
      </w:r>
    </w:p>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(2)The aggregate grant date fair value of phantom unit awards issued during 2026 was $285 million based on a grant date market price of the Partnership’s common units ranging from $32.16 to $38.03 per unit. An estimated annual forfeiture rate of 2.0% was applied to these awards.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Each phantom unit award includes a DER, which entitles the participant to nonforfeitable cash payments equal to the product of the number of phantom unit awards outstanding for the participant and the cash distribution per common unit paid by the Partnership to its common unitholders. Cash payments made in connection with DERs are charged to partners’ equity when the phantom unit award is expected to result in the issuance of common units; otherwise, such amounts are expensed.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information regarding phantom unit awards for the periods indicated:</w:t>
      </w:r>
    </w:p>
    <w:tbl>
      <w:tblPr>
        <w:tblW w:w="8859" w:type="dxa"/>
        <w:jc w:val="left"/>
        <w:tblInd w:w="0" w:type="dxa"/>
        <w:tblLayout w:type="fixed"/>
        <w:tblCellMar>
          <w:top w:w="28" w:type="dxa"/>
          <w:left w:w="28" w:type="dxa"/>
          <w:bottom w:w="28" w:type="dxa"/>
          <w:right w:w="28" w:type="dxa"/>
        </w:tblCellMar>
      </w:tblPr>
      <w:tblGrid>
        <w:gridCol w:w="1805"/>
        <w:gridCol w:w="1584"/>
        <w:gridCol w:w="1590"/>
        <w:gridCol w:w="207"/>
        <w:gridCol w:w="351"/>
        <w:gridCol w:w="115"/>
        <w:gridCol w:w="115"/>
        <w:gridCol w:w="115"/>
        <w:gridCol w:w="115"/>
        <w:gridCol w:w="207"/>
        <w:gridCol w:w="351"/>
        <w:gridCol w:w="115"/>
        <w:gridCol w:w="109"/>
        <w:gridCol w:w="109"/>
        <w:gridCol w:w="109"/>
        <w:gridCol w:w="196"/>
        <w:gridCol w:w="331"/>
        <w:gridCol w:w="109"/>
        <w:gridCol w:w="109"/>
        <w:gridCol w:w="109"/>
        <w:gridCol w:w="109"/>
        <w:gridCol w:w="196"/>
        <w:gridCol w:w="331"/>
        <w:gridCol w:w="109"/>
        <w:gridCol w:w="109"/>
        <w:gridCol w:w="154"/>
      </w:tblGrid>
      <w:tr>
        <w:trPr/>
        <w:tc>
          <w:tcPr>
            <w:tcW w:w="1805"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made in connection with DERs</w:t>
            </w:r>
          </w:p>
        </w:tc>
        <w:tc>
          <w:tcPr>
            <w:tcW w:w="20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intrinsic value of phantom unit awards that vested during period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80"/>
        <w:jc w:val="both"/>
        <w:rPr>
          <w:rFonts w:ascii="Times New Roman;serif" w:hAnsi="Times New Roman;serif"/>
          <w:b w:val="false"/>
          <w:color w:val="000000"/>
          <w:sz w:val="20"/>
        </w:rPr>
      </w:pPr>
      <w:r>
        <w:rPr>
          <w:rFonts w:ascii="Times New Roman;serif" w:hAnsi="Times New Roman;serif"/>
          <w:b w:val="false"/>
          <w:color w:val="000000"/>
          <w:sz w:val="20"/>
        </w:rPr>
        <w:t>For the EPCO group of companies, the unrecognized compensation cost associated with phantom unit awards was $373 million at June 30, 2026, of which our share of such cost is currently estimated to be $304 million. Due to the graded vesting provisions of these awards, we expect to recognize our share of the unrecognized compensation cost for these awards over a weighted-average period of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13. Hedging Activities and Fair Value Measurements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normal course of our business operations, we are exposed to certain risks, including changes in interest rates and commodity prices. In order to manage risks associated with assets, liabilities and certain anticipated future transactions, we use derivative instruments such as futures, forward contracts, swaps, options and other instruments with similar characteristics. Substantially all of our derivatives are used for non-trading activities.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Interest Rate Hedging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may utilize interest rate swaps, forward-starting swaps, options to enter into forward-starting swaps (“swaptions”), treasury locks and similar derivative instruments to manage our exposure to changes in interest rates charged on borrowings under certain consolidated debt agreements. This strategy may be used in controlling our overall cost of capital associated with such borrowings.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do not have any interest rate derivative instruments outstanding at June 30, 2026.</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Commodity Hedging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prices of natural gas, NGLs, crude oil, petrochemicals and refined products, and power are subject to fluctuations in response to changes in supply and demand, market conditions and a variety of additional factors that are beyond our control. In order to manage such price risks, we enter into commodity derivative instruments such as physical forward contracts, futures contracts, fixed-for-float swaps and basis swaps.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our predominant commodity hedging strategies consisted of (i) hedging anticipated future purchases and sales of commodity products associated with transportation, storage and blending activities, (ii) hedging natural gas processing margins, (iii) hedging the fair value of commodity products held in inventory and (iv) hedging anticipated future purchases of power for certain operations in Southeast Texas.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objective of our anticipated future commodity purchases and sales hedging program is to hedge the margins of certain transportation, storage, blending and operational activities by locking in purchase and sale prices through the use of derivative instruments and related contracts.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objective of our natural gas processing hedging program is to hedge an amount of earnings associated with these activities. We achieve this objective by executing fixed-price sales for a portion of our expected equity production using derivative instruments and related contracts. For certain natural gas processing contracts, the hedging of expected equity NGL production also involves the purchase of natural gas for plant thermal reduction, which is hedged using derivative instruments and related contracts.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objective of our inventory hedging program is to hedge the fair value of commodity products currently held in inventory by locking in the sales price of the inventory through the use of derivative instruments and related contracts.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objective of our commercial energy hedging program is to hedge anticipated future purchases of power for certain operations in Southeast Texas by locking in purchase prices through the use of derivative instruments and related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portfolio of commodity derivative instruments outstanding at June 30, 2026 (volume measures as noted):</w:t>
      </w:r>
    </w:p>
    <w:tbl>
      <w:tblPr>
        <w:tblW w:w="9297" w:type="dxa"/>
        <w:jc w:val="left"/>
        <w:tblInd w:w="0" w:type="dxa"/>
        <w:tblLayout w:type="fixed"/>
        <w:tblCellMar>
          <w:top w:w="28" w:type="dxa"/>
          <w:left w:w="28" w:type="dxa"/>
          <w:bottom w:w="28" w:type="dxa"/>
          <w:right w:w="28" w:type="dxa"/>
        </w:tblCellMar>
      </w:tblPr>
      <w:tblGrid>
        <w:gridCol w:w="2125"/>
        <w:gridCol w:w="1867"/>
        <w:gridCol w:w="1872"/>
        <w:gridCol w:w="314"/>
        <w:gridCol w:w="314"/>
        <w:gridCol w:w="316"/>
        <w:gridCol w:w="393"/>
        <w:gridCol w:w="393"/>
        <w:gridCol w:w="398"/>
        <w:gridCol w:w="381"/>
        <w:gridCol w:w="381"/>
        <w:gridCol w:w="543"/>
      </w:tblGrid>
      <w:tr>
        <w:trPr/>
        <w:tc>
          <w:tcPr>
            <w:tcW w:w="2125"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Volume (1)</w:t>
            </w:r>
          </w:p>
        </w:tc>
        <w:tc>
          <w:tcPr>
            <w:tcW w:w="130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Accounting</w:t>
              <w:br/>
              <w:t>Treatment</w:t>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 Purpose</w:t>
            </w:r>
          </w:p>
        </w:tc>
        <w:tc>
          <w:tcPr>
            <w:tcW w:w="94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Current </w:t>
            </w:r>
            <w:r>
              <w:rPr>
                <w:rFonts w:ascii="Times New Roman;serif" w:hAnsi="Times New Roman;serif"/>
                <w:b w:val="false"/>
                <w:color w:val="000000"/>
                <w:sz w:val="16"/>
              </w:rPr>
              <w:t>(2)</w:t>
            </w:r>
          </w:p>
        </w:tc>
        <w:tc>
          <w:tcPr>
            <w:tcW w:w="118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Long-Term </w:t>
            </w:r>
            <w:r>
              <w:rPr>
                <w:rFonts w:ascii="Times New Roman;serif" w:hAnsi="Times New Roman;serif"/>
                <w:b w:val="false"/>
                <w:color w:val="000000"/>
                <w:sz w:val="16"/>
              </w:rPr>
              <w:t>(2)</w:t>
            </w:r>
          </w:p>
        </w:tc>
        <w:tc>
          <w:tcPr>
            <w:tcW w:w="13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86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Derivatives designated as hedging instruments:</w:t>
            </w:r>
          </w:p>
        </w:tc>
        <w:tc>
          <w:tcPr>
            <w:tcW w:w="94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processing:</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Forecasted natural gas purchases for plant thermal reduction (Bcf)</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13.8</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Cash flow hedge</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Forecasted sales of natural gas (Bcf)</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34.4</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14.7</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Cash flow hedge</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Forecasted sales of NGLs (MMBbls)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Cash flow hedge</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Octane enhancement:</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Forecasted sales of octane enhancement products (MMBbls)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0.9</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Cash flow hedge</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marketing:</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storage inventory management activities (Bcf)</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 hedge</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marketing:</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Forecasted purchases of NGLs and related hydrocarbon products (MMBbls)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203.2</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22.7</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Cash flow hedge</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Forecasted sales of NGLs and related hydrocarbon products (MMBbls)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31.7</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Cash flow hedge</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Refined products marketing:</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Forecasted purchases of refined products (MMBbls)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Cash flow hedge</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Forecasted sales of refined products (MMBbls)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Cash flow hedge</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marketing:</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Forecasted purchases of crude oil (MMBbls)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20.7</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Cash flow hedge</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Forecasted sales of crude oil (MMBbls)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26.4</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Cash flow hedge</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Petrochemical marketing:</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Forecasted purchases of petrochemical products (MMBbls)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Cash flow hedge</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Forecasted sales of petrochemical products (MMBbls)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Cash flow hedge</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energy:</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Forecasted purchases of power related to asset operations (terawatt hours (“TWh”))</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Cash flow hedge</w:t>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Derivatives not designated as hedging instruments:</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risk management activities (Bcf) (3)</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32.7</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Mark-to-market</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risk management activities (MMBbls) (3)</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38.4</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14.3</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Mark-to-market</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Refined products risk management activities (MMBbls) (3)</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Mark-to-market</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risk management activities (MMBbls) (3)</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31.9</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Mark-to-market</w:t>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(1)Volume for derivatives designated as hedging instruments reflects the total amount of volumes hedged whereas volume for derivatives not designated as hedging instruments reflects the absolute value of derivative notional volumes.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(2)The maximum term for derivatives designated as cash flow hedges, derivatives designated as fair value hedges and derivatives not designated as hedging instruments is March 2029, December 2026 and December 2028, respectively.</w:t>
      </w:r>
    </w:p>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(3)Reflects the use of derivative instruments to manage risks associated with our transportation, processing and storage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carrying amount of our inventories subject to fair value hedges was $4 million and $6 million at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Tabular Presentation of Fair Value Amounts, and Gains and Losses 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Derivative Instruments and Related Hedged Items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balance sheet overview of our derivative assets and liabilities at the dates indicated:</w:t>
      </w:r>
    </w:p>
    <w:tbl>
      <w:tblPr>
        <w:tblW w:w="10205" w:type="dxa"/>
        <w:jc w:val="left"/>
        <w:tblInd w:w="0" w:type="dxa"/>
        <w:tblLayout w:type="fixed"/>
        <w:tblCellMar>
          <w:top w:w="28" w:type="dxa"/>
          <w:left w:w="28" w:type="dxa"/>
          <w:bottom w:w="28" w:type="dxa"/>
          <w:right w:w="28" w:type="dxa"/>
        </w:tblCellMar>
      </w:tblPr>
      <w:tblGrid>
        <w:gridCol w:w="1101"/>
        <w:gridCol w:w="968"/>
        <w:gridCol w:w="971"/>
        <w:gridCol w:w="285"/>
        <w:gridCol w:w="285"/>
        <w:gridCol w:w="286"/>
        <w:gridCol w:w="204"/>
        <w:gridCol w:w="439"/>
        <w:gridCol w:w="113"/>
        <w:gridCol w:w="285"/>
        <w:gridCol w:w="285"/>
        <w:gridCol w:w="286"/>
        <w:gridCol w:w="250"/>
        <w:gridCol w:w="538"/>
        <w:gridCol w:w="139"/>
        <w:gridCol w:w="337"/>
        <w:gridCol w:w="337"/>
        <w:gridCol w:w="339"/>
        <w:gridCol w:w="204"/>
        <w:gridCol w:w="439"/>
        <w:gridCol w:w="113"/>
        <w:gridCol w:w="337"/>
        <w:gridCol w:w="337"/>
        <w:gridCol w:w="339"/>
        <w:gridCol w:w="247"/>
        <w:gridCol w:w="532"/>
        <w:gridCol w:w="209"/>
      </w:tblGrid>
      <w:tr>
        <w:trPr/>
        <w:tc>
          <w:tcPr>
            <w:tcW w:w="11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12"/>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 Derivatives</w:t>
            </w:r>
          </w:p>
        </w:tc>
        <w:tc>
          <w:tcPr>
            <w:tcW w:w="3770" w:type="dxa"/>
            <w:gridSpan w:val="12"/>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Liability Derivatives</w:t>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6"/>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783" w:type="dxa"/>
            <w:gridSpan w:val="6"/>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769" w:type="dxa"/>
            <w:gridSpan w:val="6"/>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2001" w:type="dxa"/>
            <w:gridSpan w:val="6"/>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w:t>
              <w:br/>
              <w:t>Sheet</w:t>
              <w:br/>
              <w:t>Location</w:t>
            </w:r>
          </w:p>
        </w:tc>
        <w:tc>
          <w:tcPr>
            <w:tcW w:w="75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85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w:t>
              <w:br/>
              <w:t>Sheet</w:t>
              <w:br/>
              <w:t>Location</w:t>
            </w:r>
          </w:p>
        </w:tc>
        <w:tc>
          <w:tcPr>
            <w:tcW w:w="92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101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w:t>
              <w:br/>
              <w:t>Sheet</w:t>
              <w:br/>
              <w:t>Location</w:t>
            </w:r>
          </w:p>
        </w:tc>
        <w:tc>
          <w:tcPr>
            <w:tcW w:w="75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101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w:t>
              <w:br/>
              <w:t>Sheet</w:t>
              <w:br/>
              <w:t>Location</w:t>
            </w:r>
          </w:p>
        </w:tc>
        <w:tc>
          <w:tcPr>
            <w:tcW w:w="98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Derivatives designated as hedging instruments</w:t>
            </w:r>
          </w:p>
        </w:tc>
        <w:tc>
          <w:tcPr>
            <w:tcW w:w="8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Current</w:t>
              <w:br/>
              <w:t>assets</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Current</w:t>
              <w:br/>
              <w:t>assets</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Current</w:t>
              <w:br/>
              <w:t>liabilities</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Current</w:t>
              <w:br/>
              <w:t>liabilities</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commodity derivatives</w:t>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3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2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derivatives designated as hedging instruments</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13"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3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13"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2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Derivatives not designated as hedging instruments</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Current</w:t>
              <w:br/>
              <w:t>assets</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Current</w:t>
              <w:br/>
              <w:t>assets</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Current</w:t>
              <w:br/>
              <w:t>liabilities</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Current</w:t>
              <w:br/>
              <w:t>liabilities</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commodity derivatives</w:t>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3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derivatives not designated as hedging instruments</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13"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3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13"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of our commodity derivative instruments are subject to master netting arrangements or similar agreements. The following tables present our derivative instruments subject to such arrangements at the dates indicated:</w:t>
      </w:r>
    </w:p>
    <w:tbl>
      <w:tblPr>
        <w:tblW w:w="10205" w:type="dxa"/>
        <w:jc w:val="left"/>
        <w:tblInd w:w="0" w:type="dxa"/>
        <w:tblLayout w:type="fixed"/>
        <w:tblCellMar>
          <w:top w:w="28" w:type="dxa"/>
          <w:left w:w="28" w:type="dxa"/>
          <w:bottom w:w="28" w:type="dxa"/>
          <w:right w:w="28" w:type="dxa"/>
        </w:tblCellMar>
      </w:tblPr>
      <w:tblGrid>
        <w:gridCol w:w="668"/>
        <w:gridCol w:w="472"/>
        <w:gridCol w:w="454"/>
        <w:gridCol w:w="253"/>
        <w:gridCol w:w="543"/>
        <w:gridCol w:w="142"/>
        <w:gridCol w:w="109"/>
        <w:gridCol w:w="109"/>
        <w:gridCol w:w="109"/>
        <w:gridCol w:w="322"/>
        <w:gridCol w:w="470"/>
        <w:gridCol w:w="179"/>
        <w:gridCol w:w="109"/>
        <w:gridCol w:w="109"/>
        <w:gridCol w:w="109"/>
        <w:gridCol w:w="267"/>
        <w:gridCol w:w="577"/>
        <w:gridCol w:w="150"/>
        <w:gridCol w:w="109"/>
        <w:gridCol w:w="109"/>
        <w:gridCol w:w="109"/>
        <w:gridCol w:w="254"/>
        <w:gridCol w:w="565"/>
        <w:gridCol w:w="142"/>
        <w:gridCol w:w="109"/>
        <w:gridCol w:w="109"/>
        <w:gridCol w:w="109"/>
        <w:gridCol w:w="253"/>
        <w:gridCol w:w="446"/>
        <w:gridCol w:w="142"/>
        <w:gridCol w:w="109"/>
        <w:gridCol w:w="109"/>
        <w:gridCol w:w="109"/>
        <w:gridCol w:w="278"/>
        <w:gridCol w:w="406"/>
        <w:gridCol w:w="157"/>
        <w:gridCol w:w="109"/>
        <w:gridCol w:w="109"/>
        <w:gridCol w:w="109"/>
        <w:gridCol w:w="336"/>
        <w:gridCol w:w="491"/>
        <w:gridCol w:w="276"/>
      </w:tblGrid>
      <w:tr>
        <w:trPr/>
        <w:tc>
          <w:tcPr>
            <w:tcW w:w="6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1"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Offsetting of Financial Assets and Derivative Assets</w:t>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Amounts of</w:t>
              <w:br/>
              <w:t>Recognized</w:t>
              <w:br/>
              <w:t>Assets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restart"/>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Amounts</w:t>
              <w:br/>
              <w:t>Offset in the</w:t>
              <w:br/>
              <w:t>Balance Sheet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vMerge w:val="restart"/>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Amounts</w:t>
              <w:br/>
              <w:t>of Assets</w:t>
              <w:br/>
              <w:t>Presented</w:t>
              <w:br/>
              <w:t>in the</w:t>
              <w:br/>
              <w:t>Balance Sheet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Amounts Not Offset</w:t>
              <w:br/>
              <w:t> in the Balance Sheet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Amounts That</w:t>
              <w:br/>
              <w:t>Would Have</w:t>
              <w:br/>
              <w:t>Been Presented</w:t>
              <w:br/>
              <w:t>On Net Basis</w:t>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continue"/>
            <w:tcBorders>
              <w:top w:val="single" w:sz="12"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continue"/>
            <w:tcBorders>
              <w:top w:val="single" w:sz="12"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vMerge w:val="continue"/>
            <w:tcBorders>
              <w:top w:val="single" w:sz="12"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12" w:space="0" w:color="000000"/>
              <w:bottom w:val="single" w:sz="12"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w:t>
              <w:br/>
              <w:t>Instruments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2" w:space="0" w:color="000000"/>
              <w:bottom w:val="single" w:sz="12"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Cash</w:t>
              <w:br/>
              <w:t>Collateral</w:t>
              <w:br/>
              <w:t>Received</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2" w:space="0" w:color="000000"/>
              <w:bottom w:val="single" w:sz="12"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Cash</w:t>
              <w:br/>
              <w:t>Collateral</w:t>
              <w:b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op w:val="single" w:sz="12" w:space="0" w:color="000000"/>
            </w:tcBorders>
            <w:tcMar>
              <w:top w:w="52" w:type="dxa"/>
              <w:left w:w="0" w:type="dxa"/>
              <w:bottom w:w="0" w:type="dxa"/>
              <w:right w:w="0" w:type="dxa"/>
            </w:tcMar>
            <w:vAlign w:val="center"/>
          </w:tcPr>
          <w:p>
            <w:pPr>
              <w:pStyle w:val="Normal"/>
              <w:bidi w:val="0"/>
              <w:jc w:val="left"/>
              <w:rPr/>
            </w:pPr>
            <w:r>
              <w:rPr/>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6"/>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(iii) = (i) –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(v) = (iii) + (iv)</w:t>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tbl>
      <w:tblPr>
        <w:tblW w:w="10205" w:type="dxa"/>
        <w:jc w:val="left"/>
        <w:tblInd w:w="0" w:type="dxa"/>
        <w:tblLayout w:type="fixed"/>
        <w:tblCellMar>
          <w:top w:w="28" w:type="dxa"/>
          <w:left w:w="28" w:type="dxa"/>
          <w:bottom w:w="28" w:type="dxa"/>
          <w:right w:w="28" w:type="dxa"/>
        </w:tblCellMar>
      </w:tblPr>
      <w:tblGrid>
        <w:gridCol w:w="668"/>
        <w:gridCol w:w="472"/>
        <w:gridCol w:w="454"/>
        <w:gridCol w:w="253"/>
        <w:gridCol w:w="543"/>
        <w:gridCol w:w="142"/>
        <w:gridCol w:w="109"/>
        <w:gridCol w:w="109"/>
        <w:gridCol w:w="109"/>
        <w:gridCol w:w="322"/>
        <w:gridCol w:w="470"/>
        <w:gridCol w:w="179"/>
        <w:gridCol w:w="109"/>
        <w:gridCol w:w="109"/>
        <w:gridCol w:w="109"/>
        <w:gridCol w:w="267"/>
        <w:gridCol w:w="577"/>
        <w:gridCol w:w="150"/>
        <w:gridCol w:w="109"/>
        <w:gridCol w:w="109"/>
        <w:gridCol w:w="109"/>
        <w:gridCol w:w="254"/>
        <w:gridCol w:w="565"/>
        <w:gridCol w:w="142"/>
        <w:gridCol w:w="109"/>
        <w:gridCol w:w="109"/>
        <w:gridCol w:w="109"/>
        <w:gridCol w:w="278"/>
        <w:gridCol w:w="406"/>
        <w:gridCol w:w="157"/>
        <w:gridCol w:w="109"/>
        <w:gridCol w:w="109"/>
        <w:gridCol w:w="109"/>
        <w:gridCol w:w="278"/>
        <w:gridCol w:w="406"/>
        <w:gridCol w:w="157"/>
        <w:gridCol w:w="109"/>
        <w:gridCol w:w="109"/>
        <w:gridCol w:w="109"/>
        <w:gridCol w:w="362"/>
        <w:gridCol w:w="447"/>
        <w:gridCol w:w="294"/>
      </w:tblGrid>
      <w:tr>
        <w:trPr/>
        <w:tc>
          <w:tcPr>
            <w:tcW w:w="6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1"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Offsetting of Financial Liabilities and Derivative Liabilities</w:t>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Amounts of</w:t>
              <w:br/>
              <w:t>Recognized</w:t>
              <w:br/>
              <w:t>Liabilities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restart"/>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Amounts</w:t>
              <w:br/>
              <w:t>Offset in the</w:t>
              <w:br/>
              <w:t>Balance Sheet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vMerge w:val="restart"/>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Amounts</w:t>
              <w:br/>
              <w:t>of Liabilities</w:t>
              <w:br/>
              <w:t>Presented</w:t>
              <w:br/>
              <w:t>in the</w:t>
              <w:br/>
              <w:t>Balance Sheet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Amounts Not Offset</w:t>
              <w:br/>
              <w:t> in the Balance Sheet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Amounts That</w:t>
              <w:br/>
              <w:t>Would Have</w:t>
              <w:br/>
              <w:t>Been Presented</w:t>
              <w:br/>
              <w:t>On Net Basis</w:t>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continue"/>
            <w:tcBorders>
              <w:top w:val="single" w:sz="12"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continue"/>
            <w:tcBorders>
              <w:top w:val="single" w:sz="12"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vMerge w:val="continue"/>
            <w:tcBorders>
              <w:top w:val="single" w:sz="12"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12" w:space="0" w:color="000000"/>
              <w:bottom w:val="single" w:sz="12"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w:t>
              <w:br/>
              <w:t>Instruments</w:t>
            </w:r>
          </w:p>
        </w:tc>
        <w:tc>
          <w:tcPr>
            <w:tcW w:w="327" w:type="dxa"/>
            <w:gridSpan w:val="3"/>
            <w:tcBorders>
              <w:top w:val="single" w:sz="12"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2" w:space="0" w:color="000000"/>
              <w:bottom w:val="single" w:sz="12"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Cash</w:t>
              <w:br/>
              <w:t>Collateral</w:t>
              <w:br/>
              <w:t>Received</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2" w:space="0" w:color="000000"/>
              <w:bottom w:val="single" w:sz="12"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Cash</w:t>
              <w:br/>
              <w:t>Collateral</w:t>
              <w:b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op w:val="single" w:sz="12" w:space="0" w:color="000000"/>
            </w:tcBorders>
            <w:tcMar>
              <w:top w:w="52" w:type="dxa"/>
              <w:left w:w="0" w:type="dxa"/>
              <w:bottom w:w="0" w:type="dxa"/>
              <w:right w:w="0" w:type="dxa"/>
            </w:tcMar>
            <w:vAlign w:val="center"/>
          </w:tcPr>
          <w:p>
            <w:pPr>
              <w:pStyle w:val="Normal"/>
              <w:bidi w:val="0"/>
              <w:jc w:val="left"/>
              <w:rPr/>
            </w:pPr>
            <w:r>
              <w:rPr/>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6"/>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(iii) = (i) –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(v) = (iii) + (iv)</w:t>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Derivative assets and liabilities recorded on our Unaudited Condensed Consolidated Balance Sheets are presented on a gross-basis and determined at the individual transaction level. The tabular presentation above provides a means for comparing the gross amount of derivative assets and liabilities, excluding associated accounts payable and receivable, to the net amount that would likely be receivable or payable under a default scenario based on the existence of rights of offset in the respective derivative agreements. Any cash collateral paid or received is reflected in these tables, but only to the extent that it represents variation margins. Any amounts associated with derivative prepayments or initial margins that are not influenced by the derivative asset or liability amounts or those that are determined solely on their volumetric notional amounts are excluded from these tables.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effect of our derivative instruments designated as fair value hedges on our Unaudited Condensed Statements of Consolidated Operations for the periods indicated:</w:t>
      </w:r>
    </w:p>
    <w:tbl>
      <w:tblPr>
        <w:tblW w:w="6480" w:type="dxa"/>
        <w:jc w:val="left"/>
        <w:tblInd w:w="0" w:type="dxa"/>
        <w:tblLayout w:type="fixed"/>
        <w:tblCellMar>
          <w:top w:w="28" w:type="dxa"/>
          <w:left w:w="28" w:type="dxa"/>
          <w:bottom w:w="28" w:type="dxa"/>
          <w:right w:w="28" w:type="dxa"/>
        </w:tblCellMar>
      </w:tblPr>
      <w:tblGrid>
        <w:gridCol w:w="705"/>
        <w:gridCol w:w="620"/>
        <w:gridCol w:w="624"/>
        <w:gridCol w:w="250"/>
        <w:gridCol w:w="250"/>
        <w:gridCol w:w="251"/>
        <w:gridCol w:w="227"/>
        <w:gridCol w:w="331"/>
        <w:gridCol w:w="126"/>
        <w:gridCol w:w="126"/>
        <w:gridCol w:w="126"/>
        <w:gridCol w:w="126"/>
        <w:gridCol w:w="227"/>
        <w:gridCol w:w="279"/>
        <w:gridCol w:w="126"/>
        <w:gridCol w:w="109"/>
        <w:gridCol w:w="109"/>
        <w:gridCol w:w="109"/>
        <w:gridCol w:w="196"/>
        <w:gridCol w:w="317"/>
        <w:gridCol w:w="109"/>
        <w:gridCol w:w="109"/>
        <w:gridCol w:w="109"/>
        <w:gridCol w:w="109"/>
        <w:gridCol w:w="196"/>
        <w:gridCol w:w="24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Derivatives in Fair Value</w:t>
              <w:br/>
              <w:t>Hedging Relationships</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5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Gain (Loss) Recognized in</w:t>
              <w:br/>
              <w:t>Income on Derivative</w:t>
            </w:r>
          </w:p>
        </w:tc>
        <w:tc>
          <w:tcPr>
            <w:tcW w:w="263" w:type="dxa"/>
            <w:gridSpan w:val="2"/>
            <w:tcBorders/>
          </w:tcPr>
          <w:p>
            <w:pPr>
              <w:pStyle w:val="TableContents"/>
              <w:bidi w:val="0"/>
              <w:spacing w:before="0" w:after="283"/>
              <w:jc w:val="left"/>
              <w:rPr>
                <w:sz w:val="4"/>
                <w:szCs w:val="4"/>
              </w:rPr>
            </w:pPr>
            <w:r>
              <w:rPr>
                <w:sz w:val="4"/>
                <w:szCs w:val="4"/>
              </w:rPr>
            </w:r>
          </w:p>
        </w:tc>
      </w:tr>
      <w:tr>
        <w:trPr/>
        <w:tc>
          <w:tcPr>
            <w:tcW w:w="19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22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1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567" w:type="dxa"/>
        <w:jc w:val="left"/>
        <w:tblInd w:w="0" w:type="dxa"/>
        <w:tblLayout w:type="fixed"/>
        <w:tblCellMar>
          <w:top w:w="28" w:type="dxa"/>
          <w:left w:w="28" w:type="dxa"/>
          <w:bottom w:w="28" w:type="dxa"/>
          <w:right w:w="28" w:type="dxa"/>
        </w:tblCellMar>
      </w:tblPr>
      <w:tblGrid>
        <w:gridCol w:w="705"/>
        <w:gridCol w:w="620"/>
        <w:gridCol w:w="624"/>
        <w:gridCol w:w="250"/>
        <w:gridCol w:w="250"/>
        <w:gridCol w:w="251"/>
        <w:gridCol w:w="215"/>
        <w:gridCol w:w="315"/>
        <w:gridCol w:w="120"/>
        <w:gridCol w:w="120"/>
        <w:gridCol w:w="120"/>
        <w:gridCol w:w="120"/>
        <w:gridCol w:w="215"/>
        <w:gridCol w:w="348"/>
        <w:gridCol w:w="120"/>
        <w:gridCol w:w="109"/>
        <w:gridCol w:w="109"/>
        <w:gridCol w:w="109"/>
        <w:gridCol w:w="196"/>
        <w:gridCol w:w="331"/>
        <w:gridCol w:w="109"/>
        <w:gridCol w:w="109"/>
        <w:gridCol w:w="109"/>
        <w:gridCol w:w="109"/>
        <w:gridCol w:w="196"/>
        <w:gridCol w:w="316"/>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Derivatives in Fair Value</w:t>
              <w:br/>
              <w:t>Hedging Relationships</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60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Gain (Loss) Recognized in</w:t>
              <w:br/>
              <w:t>Income on Hedged Item</w:t>
            </w:r>
          </w:p>
        </w:tc>
        <w:tc>
          <w:tcPr>
            <w:tcW w:w="263" w:type="dxa"/>
            <w:gridSpan w:val="2"/>
            <w:tcBorders/>
          </w:tcPr>
          <w:p>
            <w:pPr>
              <w:pStyle w:val="TableContents"/>
              <w:bidi w:val="0"/>
              <w:spacing w:before="0" w:after="283"/>
              <w:jc w:val="left"/>
              <w:rPr>
                <w:sz w:val="4"/>
                <w:szCs w:val="4"/>
              </w:rPr>
            </w:pPr>
            <w:r>
              <w:rPr>
                <w:sz w:val="4"/>
                <w:szCs w:val="4"/>
              </w:rPr>
            </w:r>
          </w:p>
        </w:tc>
      </w:tr>
      <w:tr>
        <w:trPr/>
        <w:tc>
          <w:tcPr>
            <w:tcW w:w="19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21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1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1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gain (loss) corresponding to the hedge ineffectiveness on the fair value hedges was negligible for all periods presented. The remaining gain (loss) for each period presented is primarily attributable to prompt-to-forward month price differentials that were excluded from the assessment of hedge effectiveness.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effect of our derivative instruments designated as cash flow hedges on our Unaudited Condensed Statements of Consolidated Operations and Unaudited Condensed Statements of Consolidated Comprehensive Income for the periods indicated:</w:t>
      </w:r>
    </w:p>
    <w:tbl>
      <w:tblPr>
        <w:tblW w:w="8322" w:type="dxa"/>
        <w:jc w:val="left"/>
        <w:tblInd w:w="0" w:type="dxa"/>
        <w:tblLayout w:type="fixed"/>
        <w:tblCellMar>
          <w:top w:w="28" w:type="dxa"/>
          <w:left w:w="28" w:type="dxa"/>
          <w:bottom w:w="28" w:type="dxa"/>
          <w:right w:w="28" w:type="dxa"/>
        </w:tblCellMar>
      </w:tblPr>
      <w:tblGrid>
        <w:gridCol w:w="1519"/>
        <w:gridCol w:w="1336"/>
        <w:gridCol w:w="1344"/>
        <w:gridCol w:w="213"/>
        <w:gridCol w:w="311"/>
        <w:gridCol w:w="119"/>
        <w:gridCol w:w="119"/>
        <w:gridCol w:w="119"/>
        <w:gridCol w:w="119"/>
        <w:gridCol w:w="213"/>
        <w:gridCol w:w="361"/>
        <w:gridCol w:w="119"/>
        <w:gridCol w:w="113"/>
        <w:gridCol w:w="113"/>
        <w:gridCol w:w="113"/>
        <w:gridCol w:w="203"/>
        <w:gridCol w:w="514"/>
        <w:gridCol w:w="113"/>
        <w:gridCol w:w="113"/>
        <w:gridCol w:w="113"/>
        <w:gridCol w:w="113"/>
        <w:gridCol w:w="203"/>
        <w:gridCol w:w="343"/>
        <w:gridCol w:w="113"/>
        <w:gridCol w:w="109"/>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Derivatives in Cash Flow</w:t>
              <w:br/>
              <w:t>Hedging Relationships</w:t>
            </w:r>
          </w:p>
        </w:tc>
        <w:tc>
          <w:tcPr>
            <w:tcW w:w="386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Change in Value Recognized 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 Comprehensive Income (Loss) on Derivative</w:t>
            </w:r>
          </w:p>
        </w:tc>
        <w:tc>
          <w:tcPr>
            <w:tcW w:w="263"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w:t>
            </w:r>
          </w:p>
        </w:tc>
        <w:tc>
          <w:tcPr>
            <w:tcW w:w="21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 – Revenue (1)</w:t>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 – Operating costs and expenses (1)</w:t>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13"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113"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3"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13"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(1)The fair value of these derivative instruments will be reclassified to their respective locations on the Unaudited Condensed Statement of Consolidated Operations when the forecasted transactions affect earnings.</w:t>
      </w:r>
    </w:p>
    <w:tbl>
      <w:tblPr>
        <w:tblW w:w="8821" w:type="dxa"/>
        <w:jc w:val="left"/>
        <w:tblInd w:w="0" w:type="dxa"/>
        <w:tblLayout w:type="fixed"/>
        <w:tblCellMar>
          <w:top w:w="28" w:type="dxa"/>
          <w:left w:w="28" w:type="dxa"/>
          <w:bottom w:w="28" w:type="dxa"/>
          <w:right w:w="28" w:type="dxa"/>
        </w:tblCellMar>
      </w:tblPr>
      <w:tblGrid>
        <w:gridCol w:w="700"/>
        <w:gridCol w:w="616"/>
        <w:gridCol w:w="619"/>
        <w:gridCol w:w="709"/>
        <w:gridCol w:w="709"/>
        <w:gridCol w:w="712"/>
        <w:gridCol w:w="228"/>
        <w:gridCol w:w="579"/>
        <w:gridCol w:w="127"/>
        <w:gridCol w:w="127"/>
        <w:gridCol w:w="127"/>
        <w:gridCol w:w="127"/>
        <w:gridCol w:w="228"/>
        <w:gridCol w:w="386"/>
        <w:gridCol w:w="127"/>
        <w:gridCol w:w="127"/>
        <w:gridCol w:w="127"/>
        <w:gridCol w:w="127"/>
        <w:gridCol w:w="228"/>
        <w:gridCol w:w="579"/>
        <w:gridCol w:w="127"/>
        <w:gridCol w:w="127"/>
        <w:gridCol w:w="127"/>
        <w:gridCol w:w="127"/>
        <w:gridCol w:w="228"/>
        <w:gridCol w:w="386"/>
        <w:gridCol w:w="127"/>
        <w:gridCol w:w="109"/>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Derivatives in Cash Flow</w:t>
              <w:br/>
              <w:t>Hedging Relationships</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44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Gain (Loss) Reclassified from</w:t>
              <w:br/>
              <w:t>Accumulated Other Comprehensive Income (Loss) to Income</w:t>
            </w:r>
          </w:p>
        </w:tc>
        <w:tc>
          <w:tcPr>
            <w:tcW w:w="263" w:type="dxa"/>
            <w:gridSpan w:val="2"/>
            <w:tcBorders/>
          </w:tcPr>
          <w:p>
            <w:pPr>
              <w:pStyle w:val="TableContents"/>
              <w:bidi w:val="0"/>
              <w:spacing w:before="0" w:after="283"/>
              <w:jc w:val="left"/>
              <w:rPr>
                <w:sz w:val="4"/>
                <w:szCs w:val="4"/>
              </w:rPr>
            </w:pPr>
            <w:r>
              <w:rPr>
                <w:sz w:val="4"/>
                <w:szCs w:val="4"/>
              </w:rPr>
            </w:r>
          </w:p>
        </w:tc>
      </w:tr>
      <w:tr>
        <w:trPr/>
        <w:tc>
          <w:tcPr>
            <w:tcW w:w="193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8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w:t>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2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costs and expenses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2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2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12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2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Over the next twelve months, we expect to reclassify $7 million of gains attributable to interest rate derivative instruments from accumulated other comprehensive income to earnings as a decrease in interest expense. Likewise, we expect to reclassify $15 million of net gains attributable to commodity derivative instruments from accumulated other comprehensive loss to earnings, with $24 million as an increase in revenue and $9 million as an increase in operating costs and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our derivative instruments not designated as hedging instruments on our Unaudited Condensed Statements of Consolidated Operations for the periods indicated:</w:t>
      </w:r>
    </w:p>
    <w:tbl>
      <w:tblPr>
        <w:tblW w:w="8183" w:type="dxa"/>
        <w:jc w:val="left"/>
        <w:tblInd w:w="0" w:type="dxa"/>
        <w:tblLayout w:type="fixed"/>
        <w:tblCellMar>
          <w:top w:w="28" w:type="dxa"/>
          <w:left w:w="28" w:type="dxa"/>
          <w:bottom w:w="28" w:type="dxa"/>
          <w:right w:w="28" w:type="dxa"/>
        </w:tblCellMar>
      </w:tblPr>
      <w:tblGrid>
        <w:gridCol w:w="759"/>
        <w:gridCol w:w="669"/>
        <w:gridCol w:w="671"/>
        <w:gridCol w:w="706"/>
        <w:gridCol w:w="706"/>
        <w:gridCol w:w="717"/>
        <w:gridCol w:w="207"/>
        <w:gridCol w:w="351"/>
        <w:gridCol w:w="115"/>
        <w:gridCol w:w="115"/>
        <w:gridCol w:w="115"/>
        <w:gridCol w:w="115"/>
        <w:gridCol w:w="207"/>
        <w:gridCol w:w="351"/>
        <w:gridCol w:w="115"/>
        <w:gridCol w:w="109"/>
        <w:gridCol w:w="109"/>
        <w:gridCol w:w="109"/>
        <w:gridCol w:w="196"/>
        <w:gridCol w:w="406"/>
        <w:gridCol w:w="109"/>
        <w:gridCol w:w="109"/>
        <w:gridCol w:w="109"/>
        <w:gridCol w:w="109"/>
        <w:gridCol w:w="196"/>
        <w:gridCol w:w="331"/>
        <w:gridCol w:w="109"/>
        <w:gridCol w:w="109"/>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Derivatives Not Designated</w:t>
              <w:br/>
              <w:t>as Hedging Instruments</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69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Gain (Loss) Recognized in</w:t>
              <w:br/>
              <w:t>Income on Derivative</w:t>
            </w:r>
          </w:p>
        </w:tc>
        <w:tc>
          <w:tcPr>
            <w:tcW w:w="263" w:type="dxa"/>
            <w:gridSpan w:val="2"/>
            <w:tcBorders/>
          </w:tcPr>
          <w:p>
            <w:pPr>
              <w:pStyle w:val="TableContents"/>
              <w:bidi w:val="0"/>
              <w:spacing w:before="0" w:after="283"/>
              <w:jc w:val="left"/>
              <w:rPr>
                <w:sz w:val="4"/>
                <w:szCs w:val="4"/>
              </w:rPr>
            </w:pPr>
            <w:r>
              <w:rPr>
                <w:sz w:val="4"/>
                <w:szCs w:val="4"/>
              </w:rPr>
            </w:r>
          </w:p>
        </w:tc>
      </w:tr>
      <w:tr>
        <w:trPr/>
        <w:tc>
          <w:tcPr>
            <w:tcW w:w="209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20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costs and expenses</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1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1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$44 million net loss recognized for the six months ended June 30, 2026 (as noted in the preceding table) from derivatives not designated as hedging instruments consists of $76 million of net realized losses and $32 million of net unrealized mark-to-market gains attributable to commodity derivatives.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by level within the Level 1, 2 and 3 fair value hierarchy, the carrying values of our financial assets and liabilities at the dates indicated. These assets and liabilities are measured on a recurring basis and are classified based on the lowest level of input used to estimate their fair value. Our assessment of the relative significance of such inputs requires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values for commodity derivatives are presented before and after the application of CME Rule 814, which deems that financial instruments cleared by the CME are settled daily in connection with variation margin payments. As a result of this exchange rule, CME-related derivatives are considered to have no fair value at the balance sheet date for financial reporting purposes;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    </w:t>
      </w:r>
    </w:p>
    <w:tbl>
      <w:tblPr>
        <w:tblW w:w="8232" w:type="dxa"/>
        <w:jc w:val="left"/>
        <w:tblInd w:w="0" w:type="dxa"/>
        <w:tblLayout w:type="fixed"/>
        <w:tblCellMar>
          <w:top w:w="28" w:type="dxa"/>
          <w:left w:w="28" w:type="dxa"/>
          <w:bottom w:w="28" w:type="dxa"/>
          <w:right w:w="28" w:type="dxa"/>
        </w:tblCellMar>
      </w:tblPr>
      <w:tblGrid>
        <w:gridCol w:w="1122"/>
        <w:gridCol w:w="987"/>
        <w:gridCol w:w="995"/>
        <w:gridCol w:w="326"/>
        <w:gridCol w:w="704"/>
        <w:gridCol w:w="184"/>
        <w:gridCol w:w="109"/>
        <w:gridCol w:w="109"/>
        <w:gridCol w:w="109"/>
        <w:gridCol w:w="251"/>
        <w:gridCol w:w="539"/>
        <w:gridCol w:w="141"/>
        <w:gridCol w:w="109"/>
        <w:gridCol w:w="109"/>
        <w:gridCol w:w="109"/>
        <w:gridCol w:w="363"/>
        <w:gridCol w:w="530"/>
        <w:gridCol w:w="203"/>
        <w:gridCol w:w="109"/>
        <w:gridCol w:w="109"/>
        <w:gridCol w:w="109"/>
        <w:gridCol w:w="196"/>
        <w:gridCol w:w="556"/>
        <w:gridCol w:w="154"/>
      </w:tblGrid>
      <w:tr>
        <w:trPr/>
        <w:tc>
          <w:tcPr>
            <w:tcW w:w="112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At June 30, 2026</w:t>
              <w:b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 Assets</w:t>
              <w:br/>
              <w:t>and Liabilities</w:t>
              <w:br/>
              <w:t>(Level 1)</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assets:</w:t>
            </w:r>
          </w:p>
        </w:tc>
        <w:tc>
          <w:tcPr>
            <w:tcW w:w="121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Value before application of CME Rule 814</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CME Rule 814</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commodity derivatives</w:t>
            </w:r>
          </w:p>
        </w:tc>
        <w:tc>
          <w:tcPr>
            <w:tcW w:w="103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8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8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4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3"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liabilities: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Value before application of CME Rule 814</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CME Rule 814</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commodity derivatives</w:t>
            </w:r>
          </w:p>
        </w:tc>
        <w:tc>
          <w:tcPr>
            <w:tcW w:w="103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8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4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8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4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5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97" w:type="dxa"/>
        <w:jc w:val="left"/>
        <w:tblInd w:w="0" w:type="dxa"/>
        <w:tblLayout w:type="fixed"/>
        <w:tblCellMar>
          <w:top w:w="28" w:type="dxa"/>
          <w:left w:w="28" w:type="dxa"/>
          <w:bottom w:w="28" w:type="dxa"/>
          <w:right w:w="28" w:type="dxa"/>
        </w:tblCellMar>
      </w:tblPr>
      <w:tblGrid>
        <w:gridCol w:w="1122"/>
        <w:gridCol w:w="987"/>
        <w:gridCol w:w="995"/>
        <w:gridCol w:w="326"/>
        <w:gridCol w:w="704"/>
        <w:gridCol w:w="184"/>
        <w:gridCol w:w="109"/>
        <w:gridCol w:w="109"/>
        <w:gridCol w:w="109"/>
        <w:gridCol w:w="251"/>
        <w:gridCol w:w="539"/>
        <w:gridCol w:w="141"/>
        <w:gridCol w:w="109"/>
        <w:gridCol w:w="109"/>
        <w:gridCol w:w="109"/>
        <w:gridCol w:w="363"/>
        <w:gridCol w:w="530"/>
        <w:gridCol w:w="203"/>
        <w:gridCol w:w="109"/>
        <w:gridCol w:w="109"/>
        <w:gridCol w:w="109"/>
        <w:gridCol w:w="196"/>
        <w:gridCol w:w="421"/>
        <w:gridCol w:w="154"/>
      </w:tblGrid>
      <w:tr>
        <w:trPr/>
        <w:tc>
          <w:tcPr>
            <w:tcW w:w="112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At December 31, 2025</w:t>
              <w:b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 Assets</w:t>
              <w:br/>
              <w:t>and Liabilities</w:t>
              <w:br/>
              <w:t>(Level 1)</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assets:</w:t>
            </w:r>
          </w:p>
        </w:tc>
        <w:tc>
          <w:tcPr>
            <w:tcW w:w="121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Value before application of CME Rule 814</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CME Rule 814</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commodity derivatives</w:t>
            </w:r>
          </w:p>
        </w:tc>
        <w:tc>
          <w:tcPr>
            <w:tcW w:w="103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4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liabilities: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derivatives: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Value before application of CME Rule 814</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CME Rule 814</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commodity derivatives</w:t>
            </w:r>
          </w:p>
        </w:tc>
        <w:tc>
          <w:tcPr>
            <w:tcW w:w="103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4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4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5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aggregate, the fair value of our commodity hedging portfolios at June 30, 2026 was a net derivative liability of $67 million prior to the impact of CME Rule 814.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recorded on the balance sheet at June 30, 2026 using significant unobservable inputs (Level 3) are not material to the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Fair Value Information</w:t>
      </w:r>
    </w:p>
    <w:p>
      <w:pPr>
        <w:pStyle w:val="TextBody"/>
        <w:bidi w:val="0"/>
        <w:spacing w:lineRule="auto" w:line="288" w:before="0" w:after="480"/>
        <w:jc w:val="both"/>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(including restricted cash balances), accounts receivable, commercial paper notes and accounts payable approximate their fair values based on their short-term nature. The estimated total fair value of our fixed-rate debt obligations was $30.2 billion and $32.2 billion at June 30, 2026 and December 31, 2025, respectively. The aggregate carrying value of these debt obligations was $32.5 billion and $34.1 billion at June 30, 2026 and December 31, 2025, respectively. These values are primarily based on quoted market prices for such debt or debt of similar terms and maturities (Level 2) and our credit standing. Changes in market rates of interest affect the fair value of our fixed-rate debt. The carrying values of our variable-rate long-term debt obligations approximate their fair values since the associated interest rates are market-based. We do not have any long-term investments in debt or equity securities recorded 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14. Related Party Transactions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related party transactions for the periods indicated:</w:t>
      </w:r>
    </w:p>
    <w:tbl>
      <w:tblPr>
        <w:tblW w:w="6922" w:type="dxa"/>
        <w:jc w:val="left"/>
        <w:tblInd w:w="0" w:type="dxa"/>
        <w:tblLayout w:type="fixed"/>
        <w:tblCellMar>
          <w:top w:w="28" w:type="dxa"/>
          <w:left w:w="28" w:type="dxa"/>
          <w:bottom w:w="28" w:type="dxa"/>
          <w:right w:w="28" w:type="dxa"/>
        </w:tblCellMar>
      </w:tblPr>
      <w:tblGrid>
        <w:gridCol w:w="1003"/>
        <w:gridCol w:w="882"/>
        <w:gridCol w:w="88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Revenues – related parties:</w:t>
            </w:r>
          </w:p>
        </w:tc>
        <w:tc>
          <w:tcPr>
            <w:tcW w:w="72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Unconsolidated affiliates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Costs and expenses – related parties:</w:t>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EPCO and its privately held affiliates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Unconsolidated affiliates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949 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related party accounts receivable and accounts payable balances at the dates indicated:</w:t>
      </w:r>
    </w:p>
    <w:tbl>
      <w:tblPr>
        <w:tblW w:w="5012" w:type="dxa"/>
        <w:jc w:val="left"/>
        <w:tblInd w:w="0" w:type="dxa"/>
        <w:tblLayout w:type="fixed"/>
        <w:tblCellMar>
          <w:top w:w="28" w:type="dxa"/>
          <w:left w:w="28" w:type="dxa"/>
          <w:bottom w:w="28" w:type="dxa"/>
          <w:right w:w="28" w:type="dxa"/>
        </w:tblCellMar>
      </w:tblPr>
      <w:tblGrid>
        <w:gridCol w:w="1021"/>
        <w:gridCol w:w="896"/>
        <w:gridCol w:w="902"/>
        <w:gridCol w:w="196"/>
        <w:gridCol w:w="421"/>
        <w:gridCol w:w="109"/>
        <w:gridCol w:w="109"/>
        <w:gridCol w:w="109"/>
        <w:gridCol w:w="109"/>
        <w:gridCol w:w="289"/>
        <w:gridCol w:w="622"/>
        <w:gridCol w:w="229"/>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Accounts receivable - related parties:</w:t>
            </w:r>
          </w:p>
        </w:tc>
        <w:tc>
          <w:tcPr>
            <w:tcW w:w="72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Unconsolidated affiliates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Accounts payable - related parties:</w:t>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EPCO and its privately held affiliates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Unconsolidated affiliates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22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believe that the terms and provisions of our related party agreements are fair to us; however, such agreements and transactions may not be as favorable to us as we could have obtained from unaffiliated third parties.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Relationship with EPCO and Affiliates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extensive and ongoing relationship with EPCO and its privately held affiliates (including Enterprise GP, our general partner), which are not a part of our consolidated group of companies.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June 30, 2026, EPCO and its privately held affiliates (including Dan Duncan LLC and certain Duncan family trusts) beneficially owned the following limited partner interests in us:</w:t>
      </w:r>
    </w:p>
    <w:tbl>
      <w:tblPr>
        <w:tblW w:w="4828" w:type="dxa"/>
        <w:jc w:val="center"/>
        <w:tblInd w:w="0" w:type="dxa"/>
        <w:tblLayout w:type="fixed"/>
        <w:tblCellMar>
          <w:top w:w="28" w:type="dxa"/>
          <w:left w:w="28" w:type="dxa"/>
          <w:bottom w:w="28" w:type="dxa"/>
          <w:right w:w="28" w:type="dxa"/>
        </w:tblCellMar>
      </w:tblPr>
      <w:tblGrid>
        <w:gridCol w:w="1301"/>
        <w:gridCol w:w="1144"/>
        <w:gridCol w:w="1154"/>
        <w:gridCol w:w="359"/>
        <w:gridCol w:w="359"/>
        <w:gridCol w:w="511"/>
      </w:tblGrid>
      <w:tr>
        <w:trPr/>
        <w:tc>
          <w:tcPr>
            <w:tcW w:w="13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Limited Partner Interests Held</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of</w:t>
              <w:br/>
              <w:t>Common Units</w:t>
              <w:br/>
              <w:t>Outstanding</w:t>
            </w:r>
          </w:p>
        </w:tc>
      </w:tr>
      <w:tr>
        <w:trPr/>
        <w:tc>
          <w:tcPr>
            <w:tcW w:w="359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702,573,737 common units</w:t>
            </w:r>
          </w:p>
        </w:tc>
        <w:tc>
          <w:tcPr>
            <w:tcW w:w="122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Of the total number of Partnership common units held by EPCO and its privately held affiliates, 59,976,464 have been pledged as security under the separate credit facilities of EPCO and its privately held affiliates at June 30, 2026. These credit facilities contain customary and other events of default, including defaults by us and other affiliates of EPCO. An event of default, followed by a foreclosure on the pledged collateral, could ultimately result in a change in ownership of these units and affect the market price of the Partnership’s common units.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Partnership and Enterprise GP are both separate legal entities apart from each other and apart from EPCO and its other affiliates, with assets and liabilities that are also separate from those of EPCO and its other affiliates. EPCO and its privately held affiliates use cash on hand and cash distributions they receive from us and other investments to fund their other activities and to meet their respective debt obligations, if any. During the six months ended June 30, 2026 and 2025, we paid EPCO and its privately held affiliates cash distributions totaling $747 million and $727 million,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no employees. All of our administrative and operating functions are provided either by employees of EPCO (pursuant to the ASA) or by other service providers. We and our general partner are parties to the ASA. The following table presents our related party costs and expenses attributable to the ASA with EPCO for the periods indicated:</w:t>
      </w:r>
    </w:p>
    <w:tbl>
      <w:tblPr>
        <w:tblW w:w="6788" w:type="dxa"/>
        <w:jc w:val="left"/>
        <w:tblInd w:w="0" w:type="dxa"/>
        <w:tblLayout w:type="fixed"/>
        <w:tblCellMar>
          <w:top w:w="28" w:type="dxa"/>
          <w:left w:w="28" w:type="dxa"/>
          <w:bottom w:w="28" w:type="dxa"/>
          <w:right w:w="28" w:type="dxa"/>
        </w:tblCellMar>
      </w:tblPr>
      <w:tblGrid>
        <w:gridCol w:w="957"/>
        <w:gridCol w:w="840"/>
        <w:gridCol w:w="843"/>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costs and expenses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costs and expenses</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840 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80"/>
        <w:jc w:val="both"/>
        <w:rPr>
          <w:rFonts w:ascii="Times New Roman;serif" w:hAnsi="Times New Roman;serif"/>
          <w:b w:val="false"/>
          <w:color w:val="000000"/>
          <w:sz w:val="20"/>
        </w:rPr>
      </w:pPr>
      <w:r>
        <w:rPr>
          <w:rFonts w:ascii="Times New Roman;serif" w:hAnsi="Times New Roman;serif"/>
          <w:b w:val="false"/>
          <w:color w:val="000000"/>
          <w:sz w:val="20"/>
        </w:rPr>
        <w:t xml:space="preserve">We lease office space from privately held affiliates of EPCO. For each of the three months ended June 30, 2026 and 2025, we recognized $6 million of related party operating lease expense in connection with these office space leases. For each of the six months ended June 30, 2026 and 2025, we recognized $12 million of related party operating lease expense in connection with these office space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15. 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taxes are accounted for under the asset-and-liability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did not rely on any uncertain tax positions in recording our income tax-related amounts during the three and six months ended June 30, 2026 and 2025.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federal and state income tax benefit (provision) is summarized below:</w:t>
      </w:r>
    </w:p>
    <w:tbl>
      <w:tblPr>
        <w:tblW w:w="7132" w:type="dxa"/>
        <w:jc w:val="left"/>
        <w:tblInd w:w="0" w:type="dxa"/>
        <w:tblLayout w:type="fixed"/>
        <w:tblCellMar>
          <w:top w:w="28" w:type="dxa"/>
          <w:left w:w="28" w:type="dxa"/>
          <w:bottom w:w="28" w:type="dxa"/>
          <w:right w:w="28" w:type="dxa"/>
        </w:tblCellMar>
      </w:tblPr>
      <w:tblGrid>
        <w:gridCol w:w="1103"/>
        <w:gridCol w:w="966"/>
        <w:gridCol w:w="975"/>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income tax provision:</w:t>
            </w:r>
          </w:p>
        </w:tc>
        <w:tc>
          <w:tcPr>
            <w:tcW w:w="71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State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portion</w:t>
            </w:r>
          </w:p>
        </w:tc>
        <w:tc>
          <w:tcPr>
            <w:tcW w:w="60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portion of income tax provision:</w:t>
            </w:r>
          </w:p>
        </w:tc>
        <w:tc>
          <w:tcPr>
            <w:tcW w:w="71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Federal</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State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deferred portion</w:t>
            </w:r>
          </w:p>
        </w:tc>
        <w:tc>
          <w:tcPr>
            <w:tcW w:w="60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provision for income taxes</w:t>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reconciliation of the benefit from (provision for) income taxes with amounts determined by applying the statutory U.S. federal income tax rate to income before income taxes is as follows:</w:t>
      </w:r>
    </w:p>
    <w:tbl>
      <w:tblPr>
        <w:tblW w:w="10205" w:type="dxa"/>
        <w:jc w:val="left"/>
        <w:tblInd w:w="0" w:type="dxa"/>
        <w:tblLayout w:type="fixed"/>
        <w:tblCellMar>
          <w:top w:w="28" w:type="dxa"/>
          <w:left w:w="28" w:type="dxa"/>
          <w:bottom w:w="28" w:type="dxa"/>
          <w:right w:w="28" w:type="dxa"/>
        </w:tblCellMar>
      </w:tblPr>
      <w:tblGrid>
        <w:gridCol w:w="803"/>
        <w:gridCol w:w="561"/>
        <w:gridCol w:w="563"/>
        <w:gridCol w:w="196"/>
        <w:gridCol w:w="556"/>
        <w:gridCol w:w="241"/>
        <w:gridCol w:w="247"/>
        <w:gridCol w:w="249"/>
        <w:gridCol w:w="241"/>
        <w:gridCol w:w="109"/>
        <w:gridCol w:w="109"/>
        <w:gridCol w:w="109"/>
        <w:gridCol w:w="196"/>
        <w:gridCol w:w="556"/>
        <w:gridCol w:w="241"/>
        <w:gridCol w:w="247"/>
        <w:gridCol w:w="249"/>
        <w:gridCol w:w="241"/>
        <w:gridCol w:w="109"/>
        <w:gridCol w:w="109"/>
        <w:gridCol w:w="109"/>
        <w:gridCol w:w="196"/>
        <w:gridCol w:w="556"/>
        <w:gridCol w:w="241"/>
        <w:gridCol w:w="247"/>
        <w:gridCol w:w="249"/>
        <w:gridCol w:w="241"/>
        <w:gridCol w:w="109"/>
        <w:gridCol w:w="109"/>
        <w:gridCol w:w="109"/>
        <w:gridCol w:w="196"/>
        <w:gridCol w:w="556"/>
        <w:gridCol w:w="241"/>
        <w:gridCol w:w="247"/>
        <w:gridCol w:w="249"/>
        <w:gridCol w:w="241"/>
        <w:gridCol w:w="109"/>
        <w:gridCol w:w="109"/>
        <w:gridCol w:w="159"/>
      </w:tblGrid>
      <w:tr>
        <w:trPr/>
        <w:tc>
          <w:tcPr>
            <w:tcW w:w="80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15"/>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377" w:type="dxa"/>
            <w:gridSpan w:val="3"/>
            <w:tcBorders/>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6"/>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6"/>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6"/>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6"/>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Pre-Tax Net Book Income (“NBI”)</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1,868 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1,470 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3,386 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2,900 </w:t>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Income tax provision at the U.S. federal income tax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Reduction (increase) in provision for income taxes resulting from:</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Partnership income not subject to federal income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Texas Margin Tax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Provision for income taxes </w:t>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4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4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4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Effective income tax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(1)Although the Texas Margin Tax is not considered a state income tax, it has the characteristics of an income tax since it is determined by applying a tax rate to a base that considers our Texas-sourced revenues and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components of deferred tax assets and deferred tax liabilities at the dates indicated:</w:t>
      </w:r>
    </w:p>
    <w:tbl>
      <w:tblPr>
        <w:tblW w:w="5912" w:type="dxa"/>
        <w:jc w:val="left"/>
        <w:tblInd w:w="0" w:type="dxa"/>
        <w:tblLayout w:type="fixed"/>
        <w:tblCellMar>
          <w:top w:w="28" w:type="dxa"/>
          <w:left w:w="28" w:type="dxa"/>
          <w:bottom w:w="28" w:type="dxa"/>
          <w:right w:w="28" w:type="dxa"/>
        </w:tblCellMar>
      </w:tblPr>
      <w:tblGrid>
        <w:gridCol w:w="1344"/>
        <w:gridCol w:w="1183"/>
        <w:gridCol w:w="1192"/>
        <w:gridCol w:w="196"/>
        <w:gridCol w:w="421"/>
        <w:gridCol w:w="109"/>
        <w:gridCol w:w="109"/>
        <w:gridCol w:w="109"/>
        <w:gridCol w:w="109"/>
        <w:gridCol w:w="289"/>
        <w:gridCol w:w="622"/>
        <w:gridCol w:w="229"/>
      </w:tblGrid>
      <w:tr>
        <w:trPr/>
        <w:tc>
          <w:tcPr>
            <w:tcW w:w="134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72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Attributable to investment in OTA (1)</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Attributable to property, plant and equipment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deferred tax liabilities</w:t>
            </w:r>
          </w:p>
        </w:tc>
        <w:tc>
          <w:tcPr>
            <w:tcW w:w="61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22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72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loss carryovers (2)</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Temporary differences related to Texas Margin Tax</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deferred tax assets</w:t>
            </w:r>
          </w:p>
        </w:tc>
        <w:tc>
          <w:tcPr>
            <w:tcW w:w="61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2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deferred tax liabilities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22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(1)Represents the deferred tax liability balance held by our wholly owned subsidiary, OTA Holdings, Inc. (“OTA”), which we acquired in March 2020.</w:t>
      </w:r>
    </w:p>
    <w:p>
      <w:pPr>
        <w:pStyle w:val="TextBody"/>
        <w:bidi w:val="0"/>
        <w:spacing w:lineRule="auto" w:line="288" w:before="0" w:after="48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(2)The loss amount presented as of June 30, 2026 has an indefinite carryover period. All losses are subject to limitations on their utilization.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16. Commitments and Contingent Liabilities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part of our normal business activities, we may be named as defendants in legal proceedings, including those arising from regulatory and environmental matters. Although we are insured against various risks to the extent we believe it is prudent, there is no assurance that the nature and amount of such insurance will be adequate, in every case, to fully indemnify us against losses arising from future legal proceedings. We will vigorously defend the Partnership in litigation matters.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no accruals for litigation contingencies at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Scheduled Maturities of Debt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long-term and short-term payment obligations under debt agreements. In total, the principal amount of our consolidated debt obligations were $33.5 billion and $34.7 billion at June 30, 2026 and December 31, 2025, respectively. See Note 7 for additional information regarding our scheduled future maturities of debt principal.</w:t>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Lease Accounting Matters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2026, we modified certain compressor lease agreements and extended the lease terms. The agreements include annual termination options for a defined portion of the leased compressors and multi-year renewal options. These options were excluded from the measurement of the related lease liabilities and right-of-use (“ROU”) assets because their exercise was not reasonably certain. The agreements contain a lease component related to the use of compression equipment and non-lease components for maintenance and other services. For compressor leases, we separate the lease and non-lease components, and the contract consideration attributable to the non-lease service components was estimated using observable market information for comparable services. At the modification date, we recognized incremental operating lease liabilities of approximately $345 million and finance lease liabilities of approximately $177 million, together with corresponding ROU assets. Prior to the modifications, these arrangements were primarily accounted for as short-term leases due to their contractual terms of 12 months or less.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operating and finance leases where we are the lessee at June 30, 2026:</w:t>
      </w:r>
    </w:p>
    <w:tbl>
      <w:tblPr>
        <w:tblW w:w="6555" w:type="dxa"/>
        <w:jc w:val="left"/>
        <w:tblInd w:w="0" w:type="dxa"/>
        <w:tblLayout w:type="fixed"/>
        <w:tblCellMar>
          <w:top w:w="28" w:type="dxa"/>
          <w:left w:w="28" w:type="dxa"/>
          <w:bottom w:w="28" w:type="dxa"/>
          <w:right w:w="28" w:type="dxa"/>
        </w:tblCellMar>
      </w:tblPr>
      <w:tblGrid>
        <w:gridCol w:w="931"/>
        <w:gridCol w:w="816"/>
        <w:gridCol w:w="818"/>
        <w:gridCol w:w="919"/>
        <w:gridCol w:w="919"/>
        <w:gridCol w:w="922"/>
        <w:gridCol w:w="109"/>
        <w:gridCol w:w="109"/>
        <w:gridCol w:w="109"/>
        <w:gridCol w:w="196"/>
        <w:gridCol w:w="421"/>
        <w:gridCol w:w="286"/>
      </w:tblGrid>
      <w:tr>
        <w:trPr/>
        <w:tc>
          <w:tcPr>
            <w:tcW w:w="93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w:t>
            </w:r>
          </w:p>
        </w:tc>
        <w:tc>
          <w:tcPr>
            <w:tcW w:w="276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 assets, net</w:t>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current</w:t>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noncurrent</w:t>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remaining term</w:t>
            </w:r>
          </w:p>
        </w:tc>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years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discount rate (1)</w:t>
            </w:r>
          </w:p>
        </w:tc>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leases:</w:t>
            </w:r>
          </w:p>
        </w:tc>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 assets, net</w:t>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current</w:t>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noncurrent</w:t>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remaining term</w:t>
            </w:r>
          </w:p>
        </w:tc>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years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discount rate (1)</w:t>
            </w:r>
          </w:p>
        </w:tc>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6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450"/>
        <w:jc w:val="both"/>
        <w:rPr/>
      </w:pPr>
      <w:r>
        <w:rPr>
          <w:rFonts w:ascii="Times New Roman;serif" w:hAnsi="Times New Roman;serif"/>
          <w:b w:val="false"/>
          <w:color w:val="000000"/>
          <w:sz w:val="16"/>
        </w:rPr>
        <w:t xml:space="preserve">(1)The discount rate for each category of assets represents the weighted average of either (i) the implicit rate applicable to the underlying leases (where determinable) or (ii) our incremental borrowing rate adjusted for collateralization (if the implicit rate is not determinable). In general, the discount rates are based on either information available at the lease commencement date or January 1, 2019 for leases existing at the adoption date for ASC 842, </w:t>
      </w:r>
      <w:r>
        <w:rPr>
          <w:rFonts w:ascii="Times New Roman;serif" w:hAnsi="Times New Roman;serif"/>
          <w:b w:val="false"/>
          <w:i/>
          <w:color w:val="000000"/>
          <w:sz w:val="16"/>
        </w:rPr>
        <w:t>Leases</w:t>
      </w:r>
      <w:r>
        <w:rPr>
          <w:rFonts w:ascii="Times New Roman;serif" w:hAnsi="Times New Roman;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our total operating and finance lease expense for the periods indicated:</w:t>
      </w:r>
    </w:p>
    <w:tbl>
      <w:tblPr>
        <w:tblW w:w="7855" w:type="dxa"/>
        <w:jc w:val="left"/>
        <w:tblInd w:w="0" w:type="dxa"/>
        <w:tblLayout w:type="fixed"/>
        <w:tblCellMar>
          <w:top w:w="28" w:type="dxa"/>
          <w:left w:w="28" w:type="dxa"/>
          <w:bottom w:w="28" w:type="dxa"/>
          <w:right w:w="28" w:type="dxa"/>
        </w:tblCellMar>
      </w:tblPr>
      <w:tblGrid>
        <w:gridCol w:w="1372"/>
        <w:gridCol w:w="1207"/>
        <w:gridCol w:w="1216"/>
        <w:gridCol w:w="207"/>
        <w:gridCol w:w="351"/>
        <w:gridCol w:w="115"/>
        <w:gridCol w:w="115"/>
        <w:gridCol w:w="115"/>
        <w:gridCol w:w="115"/>
        <w:gridCol w:w="207"/>
        <w:gridCol w:w="351"/>
        <w:gridCol w:w="115"/>
        <w:gridCol w:w="109"/>
        <w:gridCol w:w="109"/>
        <w:gridCol w:w="109"/>
        <w:gridCol w:w="196"/>
        <w:gridCol w:w="421"/>
        <w:gridCol w:w="109"/>
        <w:gridCol w:w="109"/>
        <w:gridCol w:w="109"/>
        <w:gridCol w:w="109"/>
        <w:gridCol w:w="196"/>
        <w:gridCol w:w="421"/>
        <w:gridCol w:w="109"/>
        <w:gridCol w:w="109"/>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leases:</w:t>
            </w:r>
          </w:p>
        </w:tc>
        <w:tc>
          <w:tcPr>
            <w:tcW w:w="67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Fixed operating lease expense:</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 (amortization of ROU assets)</w:t>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Related accretion expense on lease liability balances</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operating lease expense</w:t>
            </w:r>
          </w:p>
        </w:tc>
        <w:tc>
          <w:tcPr>
            <w:tcW w:w="558"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Fixed finance lease expense:</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ROU assets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finance lease liabilities</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finance lease expense</w:t>
            </w:r>
          </w:p>
        </w:tc>
        <w:tc>
          <w:tcPr>
            <w:tcW w:w="558"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lease expense</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lease expense</w:t>
            </w:r>
          </w:p>
        </w:tc>
        <w:tc>
          <w:tcPr>
            <w:tcW w:w="558"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lease expense</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expense</w:t>
            </w:r>
          </w:p>
        </w:tc>
        <w:tc>
          <w:tcPr>
            <w:tcW w:w="207"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1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1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and non-cash activity related to our operating and finance leases for the periods indicated:</w:t>
      </w:r>
    </w:p>
    <w:tbl>
      <w:tblPr>
        <w:tblW w:w="6947" w:type="dxa"/>
        <w:jc w:val="left"/>
        <w:tblInd w:w="0" w:type="dxa"/>
        <w:tblLayout w:type="fixed"/>
        <w:tblCellMar>
          <w:top w:w="28" w:type="dxa"/>
          <w:left w:w="28" w:type="dxa"/>
          <w:bottom w:w="28" w:type="dxa"/>
          <w:right w:w="28" w:type="dxa"/>
        </w:tblCellMar>
      </w:tblPr>
      <w:tblGrid>
        <w:gridCol w:w="1808"/>
        <w:gridCol w:w="1591"/>
        <w:gridCol w:w="1596"/>
        <w:gridCol w:w="196"/>
        <w:gridCol w:w="421"/>
        <w:gridCol w:w="109"/>
        <w:gridCol w:w="109"/>
        <w:gridCol w:w="109"/>
        <w:gridCol w:w="109"/>
        <w:gridCol w:w="196"/>
        <w:gridCol w:w="331"/>
        <w:gridCol w:w="109"/>
        <w:gridCol w:w="109"/>
        <w:gridCol w:w="154"/>
      </w:tblGrid>
      <w:tr>
        <w:trPr/>
        <w:tc>
          <w:tcPr>
            <w:tcW w:w="180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amounts included in the measurement of lease liabilities:</w:t>
            </w:r>
          </w:p>
        </w:tc>
        <w:tc>
          <w:tcPr>
            <w:tcW w:w="72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outflows from operating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cash outflows from finance leases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change in lease liabilities from recognition of ROU 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maturities of our operating and finance lease liabilities at June 30, 2026:</w:t>
      </w:r>
    </w:p>
    <w:tbl>
      <w:tblPr>
        <w:tblW w:w="4743" w:type="dxa"/>
        <w:jc w:val="left"/>
        <w:tblInd w:w="0" w:type="dxa"/>
        <w:tblLayout w:type="fixed"/>
        <w:tblCellMar>
          <w:top w:w="28" w:type="dxa"/>
          <w:left w:w="28" w:type="dxa"/>
          <w:bottom w:w="28" w:type="dxa"/>
          <w:right w:w="28" w:type="dxa"/>
        </w:tblCellMar>
      </w:tblPr>
      <w:tblGrid>
        <w:gridCol w:w="1010"/>
        <w:gridCol w:w="881"/>
        <w:gridCol w:w="898"/>
        <w:gridCol w:w="231"/>
        <w:gridCol w:w="496"/>
        <w:gridCol w:w="129"/>
        <w:gridCol w:w="109"/>
        <w:gridCol w:w="109"/>
        <w:gridCol w:w="109"/>
        <w:gridCol w:w="196"/>
        <w:gridCol w:w="421"/>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Period:</w:t>
            </w:r>
          </w:p>
        </w:tc>
        <w:tc>
          <w:tcPr>
            <w:tcW w:w="8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Six months ended December 31, 2026</w:t>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One year ended December 31, 2027</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One year ended December 31, 2028</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One year ended December 31, 2029</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One year ended December 31, 2030</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undiscounted lease payments</w:t>
            </w:r>
          </w:p>
        </w:tc>
        <w:tc>
          <w:tcPr>
            <w:tcW w:w="2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12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implied interest</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liabilities</w:t>
            </w:r>
          </w:p>
        </w:tc>
        <w:tc>
          <w:tcPr>
            <w:tcW w:w="23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2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5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do not have any significant operating leases where we are the lessor. Operating lease income was $5 million and $3 million for the three months ended June 30, 2026 and 2025, respectively. Operating lease income was $10 million and $7 million for the six months ended June 30, 2026 and 2025, respectively.</w:t>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Purchase Obligations</w:t>
      </w:r>
    </w:p>
    <w:p>
      <w:pPr>
        <w:pStyle w:val="TextBody"/>
        <w:bidi w:val="0"/>
        <w:spacing w:lineRule="auto" w:line="288" w:before="0" w:after="480"/>
        <w:jc w:val="both"/>
        <w:rPr>
          <w:rFonts w:ascii="Times New Roman;serif" w:hAnsi="Times New Roman;serif"/>
          <w:b w:val="false"/>
          <w:color w:val="000000"/>
          <w:sz w:val="20"/>
        </w:rPr>
      </w:pPr>
      <w:r>
        <w:rPr>
          <w:rFonts w:ascii="Times New Roman;serif" w:hAnsi="Times New Roman;serif"/>
          <w:b w:val="false"/>
          <w:color w:val="000000"/>
          <w:sz w:val="20"/>
        </w:rPr>
        <w:t>We have contractual future product purchase commitments for NGLs and crude oil representing enforceable and legally binding agreements as of the reporting date. In the ordinary course of business, we fulfill product purchase commitments with our third party suppliers. Outside of changes related to the ordinary course of business, our consolidated product purchase commitments at June 30, 2026 did not differ materially from those reported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ENTERPRISE PRODUCTS PARTNERS L.P.</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17. Supplemental Cash Flow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net effect of changes in our operating accounts and cash payments for interest and income taxes for the periods indicated:</w:t>
      </w:r>
    </w:p>
    <w:tbl>
      <w:tblPr>
        <w:tblW w:w="10205" w:type="dxa"/>
        <w:jc w:val="left"/>
        <w:tblInd w:w="0" w:type="dxa"/>
        <w:tblLayout w:type="fixed"/>
        <w:tblCellMar>
          <w:top w:w="28" w:type="dxa"/>
          <w:left w:w="28" w:type="dxa"/>
          <w:bottom w:w="28" w:type="dxa"/>
          <w:right w:w="28" w:type="dxa"/>
        </w:tblCellMar>
      </w:tblPr>
      <w:tblGrid>
        <w:gridCol w:w="2840"/>
        <w:gridCol w:w="2483"/>
        <w:gridCol w:w="2501"/>
        <w:gridCol w:w="196"/>
        <w:gridCol w:w="623"/>
        <w:gridCol w:w="109"/>
        <w:gridCol w:w="109"/>
        <w:gridCol w:w="109"/>
        <w:gridCol w:w="109"/>
        <w:gridCol w:w="196"/>
        <w:gridCol w:w="556"/>
        <w:gridCol w:w="109"/>
        <w:gridCol w:w="109"/>
        <w:gridCol w:w="156"/>
      </w:tblGrid>
      <w:tr>
        <w:trPr/>
        <w:tc>
          <w:tcPr>
            <w:tcW w:w="2840"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7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w:t>
            </w:r>
          </w:p>
        </w:tc>
        <w:tc>
          <w:tcPr>
            <w:tcW w:w="92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 trade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 related parties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current assets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w:t>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 trade</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 related parties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product payables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effect of changes in operating accounts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59"/>
              <w:jc w:val="left"/>
              <w:rPr>
                <w:rFonts w:ascii="Times New Roman;serif" w:hAnsi="Times New Roman;serif"/>
                <w:b w:val="false"/>
                <w:color w:val="000000"/>
                <w:sz w:val="16"/>
              </w:rPr>
            </w:pPr>
            <w:r>
              <w:rPr>
                <w:rFonts w:ascii="Times New Roman;serif" w:hAnsi="Times New Roman;serif"/>
                <w:b w:val="false"/>
                <w:color w:val="000000"/>
                <w:sz w:val="16"/>
              </w:rPr>
              <w:t>Cash payments for interest, net of $47 and $98 capitalized during the six months ended June 30, 2026 and 2025,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for federal and state income taxes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incurred liabilities for construction in progress that had not been paid at June 30, 2026 and December 31, 2025 of $411 million and $401 million, respectively. Such amounts are not included under the caption “Capital expenditures” on the Unaudited Condensed Statements of Consolidated Cash Flows.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cash proceeds from asset sales and other matters for the periods indicated:</w:t>
      </w:r>
    </w:p>
    <w:tbl>
      <w:tblPr>
        <w:tblW w:w="5874" w:type="dxa"/>
        <w:jc w:val="left"/>
        <w:tblInd w:w="0" w:type="dxa"/>
        <w:tblLayout w:type="fixed"/>
        <w:tblCellMar>
          <w:top w:w="28" w:type="dxa"/>
          <w:left w:w="28" w:type="dxa"/>
          <w:bottom w:w="28" w:type="dxa"/>
          <w:right w:w="28" w:type="dxa"/>
        </w:tblCellMar>
      </w:tblPr>
      <w:tblGrid>
        <w:gridCol w:w="1296"/>
        <w:gridCol w:w="1142"/>
        <w:gridCol w:w="1147"/>
        <w:gridCol w:w="196"/>
        <w:gridCol w:w="421"/>
        <w:gridCol w:w="109"/>
        <w:gridCol w:w="109"/>
        <w:gridCol w:w="109"/>
        <w:gridCol w:w="109"/>
        <w:gridCol w:w="196"/>
        <w:gridCol w:w="331"/>
        <w:gridCol w:w="109"/>
        <w:gridCol w:w="109"/>
        <w:gridCol w:w="491"/>
      </w:tblGrid>
      <w:tr>
        <w:trPr/>
        <w:tc>
          <w:tcPr>
            <w:tcW w:w="129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600" w:type="dxa"/>
            <w:gridSpan w:val="2"/>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Sale of Bahia NGL Pipeline ownership interest (1)</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 sales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8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(1)In December 2025, we completed the sale of a 40% undivided joint interest in our Bahia NGL Pipeline to ExxonMobil for approximately $655 million in cash. The cash consideration was payable in two installments, with $60 million received in December 2025 and the remaining $595 million received in January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18. Subsequent Event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EPO entered into an additional revolving credit agreement (the “July 2026 $1.0 Billion Incremental Credit Agreement”). Under the new agreement, EPO may borrow up to $1.0 billion at a variable interest rate, subject to its terms and conditions. EPO may use proceeds from borrowings under the July 2026 $1.0 Billion Incremental Credit Agreement for working capital, capital expenditures, acquisitions and other company purposes. Amounts borrowed under the agreement mature on March 26, 2027, coinciding with the maturity date of EPO’s existing March 2026 $1.5 Billion 364-Day Revolving Credit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MANAGEMENT’S DISCUSSION AND ANALYSIS OF FINANCIAL CONDITION AND</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w:t>
      </w:r>
    </w:p>
    <w:p>
      <w:pPr>
        <w:pStyle w:val="TextBody"/>
        <w:bidi w:val="0"/>
        <w:spacing w:lineRule="auto" w:line="288" w:before="0" w:after="240"/>
        <w:jc w:val="center"/>
        <w:rPr/>
      </w:pPr>
      <w:r>
        <w:rPr>
          <w:rFonts w:ascii="Times New Roman;serif" w:hAnsi="Times New Roman;serif"/>
          <w:b/>
          <w:color w:val="000000"/>
          <w:sz w:val="20"/>
          <w:shd w:fill="FFFFFF" w:val="clear"/>
        </w:rPr>
        <w:t xml:space="preserve">For the </w:t>
      </w:r>
      <w:r>
        <w:rPr>
          <w:rFonts w:ascii="Times New Roman;serif" w:hAnsi="Times New Roman;serif"/>
          <w:b/>
          <w:color w:val="000000"/>
          <w:sz w:val="20"/>
        </w:rPr>
        <w:t>Three and Six Months Ended</w:t>
      </w:r>
      <w:r>
        <w:rPr>
          <w:color w:val="000000"/>
          <w:shd w:fill="FFFFFF" w:val="clear"/>
        </w:rPr>
        <w:t xml:space="preserve"> </w:t>
      </w:r>
      <w:r>
        <w:rPr>
          <w:rFonts w:ascii="Times New Roman;serif" w:hAnsi="Times New Roman;serif"/>
          <w:b/>
          <w:color w:val="000000"/>
          <w:sz w:val="20"/>
        </w:rPr>
        <w:t>June 30, 2026</w:t>
      </w:r>
      <w:r>
        <w:rPr>
          <w:color w:val="000000"/>
          <w:shd w:fill="FFFFFF" w:val="clear"/>
        </w:rPr>
        <w:t xml:space="preserve"> </w:t>
      </w:r>
      <w:r>
        <w:rPr>
          <w:rFonts w:ascii="Times New Roman;serif" w:hAnsi="Times New Roman;serif"/>
          <w:b/>
          <w:color w:val="000000"/>
          <w:sz w:val="20"/>
          <w:shd w:fill="FFFFFF" w:val="clear"/>
        </w:rPr>
        <w:t xml:space="preserve">and </w:t>
      </w:r>
      <w:r>
        <w:rPr>
          <w:rFonts w:ascii="Times New Roman;serif" w:hAnsi="Times New Roman;serif"/>
          <w:b/>
          <w:color w:val="000000"/>
          <w:sz w:val="20"/>
        </w:rPr>
        <w:t>2025</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The following information should be read in conjunction with our Unaudited Condensed Consolidated Financial Statements and accompanying Notes included in this quarterly report on Form 10-Q and the Audited Consolidated Financial Statements and related Notes, together with our discussion and analysis of financial position and results of operations, included in our annual report on Form 10-K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(the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Form 10-K”), as filed on February 27,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with the U.S. Securities and Exchange Commission (“SEC”). Our financial statements have been prepared in accordance with generally accepted accounting principles (“GAAP”) in the United States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Cautionary Statement Regarding Forward-Looking Information</w:t>
      </w:r>
    </w:p>
    <w:p>
      <w:pPr>
        <w:pStyle w:val="TextBody"/>
        <w:bidi w:val="0"/>
        <w:spacing w:lineRule="auto" w:line="288" w:before="0" w:after="240"/>
        <w:jc w:val="both"/>
        <w:rPr/>
      </w:pPr>
      <w:r>
        <w:rPr>
          <w:rFonts w:ascii="Times New Roman;serif" w:hAnsi="Times New Roman;serif"/>
          <w:b w:val="false"/>
          <w:i/>
          <w:color w:val="000000"/>
          <w:sz w:val="20"/>
          <w:shd w:fill="FFFFFF" w:val="clear"/>
        </w:rPr>
        <w:t xml:space="preserve">This quarterly report on Form 10-Q for the three and six months ended </w:t>
      </w:r>
      <w:r>
        <w:rPr>
          <w:rFonts w:ascii="Times New Roman;serif" w:hAnsi="Times New Roman;serif"/>
          <w:b w:val="false"/>
          <w:i/>
          <w:color w:val="000000"/>
          <w:sz w:val="20"/>
        </w:rPr>
        <w:t>June 30, 2026</w:t>
      </w:r>
      <w:r>
        <w:rPr>
          <w:color w:val="000000"/>
          <w:shd w:fill="FFFFFF" w:val="clear"/>
        </w:rPr>
        <w:t xml:space="preserve"> </w:t>
      </w:r>
      <w:r>
        <w:rPr>
          <w:rFonts w:ascii="Times New Roman;serif" w:hAnsi="Times New Roman;serif"/>
          <w:b w:val="false"/>
          <w:i/>
          <w:color w:val="000000"/>
          <w:sz w:val="20"/>
          <w:shd w:fill="FFFFFF" w:val="clear"/>
        </w:rPr>
        <w:t xml:space="preserve">(our “quarterly report”) contains various forward-looking statements and information that are based on our beliefs and those of our general partner, as well as assumptions made by us and information currently available to us. When used in this document, words such as “anticipate,” “project,” “expect,” “plan,” “seek,” “goal,” “estimate,” “forecast,” “intend,” “could,” “should,” “would,” “will,” “believe,” “may,” “scheduled,” “pending,” “potential” and similar expressions and statements regarding our plans and objectives for future operations are intended to identify forward-looking statements. Although we and our general partner believe that our expectations reflected in such forward-looking statements (including any forward-looking statements/expectations of third parties referenced in this quarterly report) are reasonable, neither we nor our general partner can give any assurances that such expectations will prove to be correct. </w:t>
      </w:r>
    </w:p>
    <w:p>
      <w:pPr>
        <w:pStyle w:val="TextBody"/>
        <w:bidi w:val="0"/>
        <w:spacing w:lineRule="auto" w:line="288" w:before="0" w:after="240"/>
        <w:jc w:val="both"/>
        <w:rPr/>
      </w:pPr>
      <w:r>
        <w:rPr>
          <w:rFonts w:ascii="Times New Roman;serif" w:hAnsi="Times New Roman;serif"/>
          <w:b w:val="false"/>
          <w:i/>
          <w:color w:val="000000"/>
          <w:sz w:val="20"/>
          <w:shd w:fill="FFFFFF" w:val="clear"/>
        </w:rPr>
        <w:t xml:space="preserve">Forward-looking statements are subject to a variety of risks, uncertainties and assumptions as described in more detail under Part I, Item 1A of our </w:t>
      </w:r>
      <w:r>
        <w:rPr>
          <w:rFonts w:ascii="Times New Roman;serif" w:hAnsi="Times New Roman;serif"/>
          <w:b w:val="false"/>
          <w:i/>
          <w:color w:val="000000"/>
          <w:sz w:val="20"/>
        </w:rPr>
        <w:t>2025</w:t>
      </w:r>
      <w:r>
        <w:rPr>
          <w:color w:val="000000"/>
          <w:shd w:fill="FFFFFF" w:val="clear"/>
        </w:rPr>
        <w:t xml:space="preserve"> </w:t>
      </w:r>
      <w:r>
        <w:rPr>
          <w:rFonts w:ascii="Times New Roman;serif" w:hAnsi="Times New Roman;serif"/>
          <w:b w:val="false"/>
          <w:i/>
          <w:color w:val="000000"/>
          <w:sz w:val="20"/>
          <w:shd w:fill="FFFFFF" w:val="clear"/>
        </w:rPr>
        <w:t>Form 10-K. If one or more of these risks or uncertainties materialize, or if underlying assumptions prove incorrect, our actual results may vary materially from those anticipated, estimated, projected or expected. You should not put undue reliance on any forward-looking statements. The forward-looking statements in this quarterly report speak only as of the date hereof. Except as required by federal and state securities laws, we undertake no obligation to publicly update or revise any forward-looking statements, whether as a result of new information, future events or any other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Key References Used in this Management’s Discussion and Analysis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the context requires otherwise, references to “we,” “us” or “our” within this quarterly report are intended to mean the business and operations of Enterprise Products Partners L.P. and its consolidated subsidiaries. </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References to the “Partnership” or “Enterprise” mean Enterprise Products Partners L.P. on a standalone basis.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References to “EPO” mean Enterprise Products Operating LLC, which is an indirect wholly owned subsidiary of the Partnership, and its consolidated subsidiaries, through which the Partnership conducts its business. We are managed by our general partner, Enterprise Products Holdings LLC (“Enterprise GP”), which is a wholly owned subsidiary of Dan Duncan LLC, a privately held Texas limited liability company.</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membership interests of Dan Duncan LLC are owned by a voting trust, the current trustees (“DD LLC Trustees”) of which are: (i) Randa Duncan Williams, who is also a director and Chairman of the Board of Directors of Enterprise GP (the “Board”); (ii) Richard H. Bachmann, who is also a director and Vice Chairman of the Board; and (iii) W. Randall Fowler, who is also a director and a Co-Chief Executive Officer of Enterprise GP. Ms. Duncan Williams and Messrs. Bachmann and Fowler also currently serve as managers of Dan Duncan LLC.</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References to “EPCO” mean Enterprise Products Company, a privately held Texas corporation, and its privately held affiliates. The outstanding voting capital stock of EPCO is owned by a voting trust, the current trustees (“EPCO Trustees”) of which are: (i) Ms. Duncan Williams, who serves as Chairman of EPCO; (ii) Mr. Bachmann, who serves as the President and Chief Executive Officer of EPCO; and (iii) Mr. Fowler, who serves as an Executive Vice President and the Chief Financial Officer of EPCO. Ms. Duncan Williams and Messrs. Bachmann and Fowler also currently serve as directors of EPCO.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We, Enterprise GP, EPCO and Dan Duncan LLC are affiliates under the collective common control of the DD LLC Trustees and the EPCO Trustees. EPCO, together with its privately held affiliates, owned approximately </w:t>
      </w:r>
      <w:r>
        <w:rPr>
          <w:rFonts w:ascii="Times New Roman;serif" w:hAnsi="Times New Roman;serif"/>
          <w:b w:val="false"/>
          <w:color w:val="000000"/>
          <w:sz w:val="20"/>
        </w:rPr>
        <w:t>32.5%</w:t>
      </w:r>
      <w:r>
        <w:rPr>
          <w:color w:val="000000"/>
          <w:shd w:fill="FFFFFF" w:val="clear"/>
        </w:rPr>
        <w:t xml:space="preserve"> </w:t>
      </w:r>
      <w:r>
        <w:rPr>
          <w:rFonts w:ascii="Times New Roman;serif" w:hAnsi="Times New Roman;serif"/>
          <w:b w:val="false"/>
          <w:color w:val="000000"/>
          <w:sz w:val="20"/>
          <w:shd w:fill="FFFFFF" w:val="clear"/>
        </w:rPr>
        <w:t xml:space="preserve">of the Partnership’s common units outstanding at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generally used in the energy industry and in this quarterly report, the acronyms below have the following meanings:</w:t>
      </w:r>
    </w:p>
    <w:tbl>
      <w:tblPr>
        <w:tblW w:w="6326" w:type="dxa"/>
        <w:jc w:val="center"/>
        <w:tblInd w:w="0" w:type="dxa"/>
        <w:tblLayout w:type="fixed"/>
        <w:tblCellMar>
          <w:top w:w="28" w:type="dxa"/>
          <w:left w:w="28" w:type="dxa"/>
          <w:bottom w:w="28" w:type="dxa"/>
          <w:right w:w="28" w:type="dxa"/>
        </w:tblCellMar>
      </w:tblPr>
      <w:tblGrid>
        <w:gridCol w:w="259"/>
        <w:gridCol w:w="228"/>
        <w:gridCol w:w="234"/>
        <w:gridCol w:w="109"/>
        <w:gridCol w:w="109"/>
        <w:gridCol w:w="109"/>
        <w:gridCol w:w="661"/>
        <w:gridCol w:w="661"/>
        <w:gridCol w:w="673"/>
        <w:gridCol w:w="240"/>
        <w:gridCol w:w="240"/>
        <w:gridCol w:w="241"/>
        <w:gridCol w:w="109"/>
        <w:gridCol w:w="109"/>
        <w:gridCol w:w="109"/>
        <w:gridCol w:w="653"/>
        <w:gridCol w:w="653"/>
        <w:gridCol w:w="929"/>
      </w:tblGrid>
      <w:tr>
        <w:trPr/>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t>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per day</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MMBPD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t>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million barrels per day</w:t>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BBtus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billion British thermal units</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MMBtus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t>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million British thermal units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Bcf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t>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billion cubic feet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MMcf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t>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million cubic feet</w:t>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BPD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barrels per day</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MWac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t>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megawatts, alternating current</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MBPD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t>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thousand barrels per day</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MWdc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t>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megawatts, direct current</w:t>
            </w:r>
          </w:p>
        </w:tc>
      </w:tr>
      <w:tr>
        <w:trPr/>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MMBbls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million barrels</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TBtus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w:t>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trillion British thermal units</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the phrase “quarter-to-quarter” means the second quarter of 2026 compared to the second quarter of 2025. Likewise, the phrase “period-to-period” means the six months ended June 30, 2026 compared to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Overview of Business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 publicly traded Delaware limited partnership, the common units of which are listed on the New York Stock Exchange (“NYSE”) under the ticker symbol “EPD.” Our preferred units are not publicly traded. We were formed in April 1998 to own and operate certain natural gas liquids (“NGLs”) related businesses of EPCO and are a leading North American provider of midstream energy services to producers and consumers of natural gas, NGLs, crude oil, petrochemicals and refined products. We are owned by our limited partners (preferred and common unitholders) from an economic perspective. Enterprise GP, which owns a non-economic general partner interest in us, manages our Partnership. We conduct substantially all of our business operations through EPO and its consolidated subsidiaries.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fully integrated, midstream energy asset network (or “value chain”) links producers of natural gas, NGLs and crude oil from some of the largest supply basins in the U.S., Canada and the Gulf of Mexico with domestic consumers and international markets. Our midstream energy operations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natural gas gathering, treating, processing, transportation and storage;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NGL transportation, fractionation, storage, and marine terminals (including those used to export liquefied petroleum gases (“LPG”) and ethane);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crude oil gathering, transportation, storage, and marine terminals;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propylene production facilities (including propane dehydrogenation (“PDH”) facilities), butane isomerization, octane enhancement, isobutane dehydrogenation (“iBDH”) and high purity isobutylene (“HPIB”) production facilities;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petrochemical and refined products transportation, storage, and marine terminals (including those used to export ethylene and polymer grade propylene (“PGP”));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 xml:space="preserve">a marine transportation business that operates on key U.S. inland and intracoastal waterway systems. </w:t>
      </w:r>
    </w:p>
    <w:p>
      <w:pPr>
        <w:pStyle w:val="TextBody"/>
        <w:bidi w:val="0"/>
        <w:spacing w:lineRule="auto" w:line="288" w:before="0" w:after="240"/>
        <w:jc w:val="both"/>
        <w:rPr/>
      </w:pPr>
      <w:r>
        <w:rPr>
          <w:rFonts w:ascii="Times New Roman;serif" w:hAnsi="Times New Roman;serif"/>
          <w:b w:val="false"/>
          <w:color w:val="000000"/>
          <w:sz w:val="20"/>
          <w:shd w:fill="FFFFFF" w:val="clear"/>
        </w:rPr>
        <w:t>The safe operation of our assets is a top priority. We are committed to protecting the environment and the health and safety of the public and those working on our behalf by conducting our business activities in a safe and environmentally responsible manner. For additional information, see “</w:t>
      </w:r>
      <w:r>
        <w:rPr>
          <w:rFonts w:ascii="Times New Roman;serif" w:hAnsi="Times New Roman;serif"/>
          <w:b w:val="false"/>
          <w:i/>
          <w:color w:val="000000"/>
          <w:sz w:val="20"/>
          <w:shd w:fill="FFFFFF" w:val="clear"/>
        </w:rPr>
        <w:t>Environmental, Safety and Conservation</w:t>
      </w:r>
      <w:r>
        <w:rPr>
          <w:color w:val="000000"/>
          <w:shd w:fill="FFFFFF" w:val="clear"/>
        </w:rPr>
        <w:t xml:space="preserve">” </w:t>
      </w:r>
      <w:r>
        <w:rPr>
          <w:rFonts w:ascii="Times New Roman;serif" w:hAnsi="Times New Roman;serif"/>
          <w:b w:val="false"/>
          <w:color w:val="000000"/>
          <w:sz w:val="20"/>
          <w:shd w:fill="FFFFFF" w:val="clear"/>
        </w:rPr>
        <w:t xml:space="preserve">within the Regulatory Matters section of Part I, Items 1 and 2 of the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Form 10-K.</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Like many publicly traded partnerships, we have no employees. All of our management, administrative and operating functions are performed by employees of EPCO pursuant to an administrative services agreement (the “ASA”) or by other service providers.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pPr>
      <w:r>
        <w:rPr>
          <w:rFonts w:ascii="Times New Roman;serif" w:hAnsi="Times New Roman;serif"/>
          <w:b w:val="false"/>
          <w:color w:val="000000"/>
          <w:sz w:val="20"/>
          <w:shd w:fill="FFFFFF" w:val="clear"/>
        </w:rPr>
        <w:t>Our financial position, results of operations and cash flows are subject to certain risks. For information regarding such risks, see “</w:t>
      </w:r>
      <w:r>
        <w:rPr>
          <w:rFonts w:ascii="Times New Roman;serif" w:hAnsi="Times New Roman;serif"/>
          <w:b w:val="false"/>
          <w:i/>
          <w:color w:val="000000"/>
          <w:sz w:val="20"/>
          <w:shd w:fill="FFFFFF" w:val="clear"/>
        </w:rPr>
        <w:t>Risk Factors</w:t>
      </w:r>
      <w:r>
        <w:rPr>
          <w:color w:val="000000"/>
          <w:shd w:fill="FFFFFF" w:val="clear"/>
        </w:rPr>
        <w:t xml:space="preserve">” </w:t>
      </w:r>
      <w:r>
        <w:rPr>
          <w:rFonts w:ascii="Times New Roman;serif" w:hAnsi="Times New Roman;serif"/>
          <w:b w:val="false"/>
          <w:color w:val="000000"/>
          <w:sz w:val="20"/>
          <w:shd w:fill="FFFFFF" w:val="clear"/>
        </w:rPr>
        <w:t xml:space="preserve">included under Part I, Item 1A of the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Form 10-K.</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We provide investors access to additional information regarding the Partnership and our consolidated businesses, including information relating to governance procedures and principles, through our website, </w:t>
      </w:r>
      <w:r>
        <w:rPr>
          <w:rFonts w:ascii="Times New Roman;serif" w:hAnsi="Times New Roman;serif"/>
          <w:b w:val="false"/>
          <w:i/>
          <w:color w:val="0000FF"/>
          <w:sz w:val="20"/>
          <w:u w:val="single"/>
          <w:shd w:fill="FFFFFF" w:val="clear"/>
        </w:rPr>
        <w:t>www.enterpriseproducts.com.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u w:val="single"/>
        </w:rPr>
      </w:pPr>
      <w:r>
        <w:rPr>
          <w:rFonts w:ascii="Times New Roman;serif" w:hAnsi="Times New Roman;serif"/>
          <w:b/>
          <w:color w:val="000000"/>
          <w:sz w:val="20"/>
          <w:u w:val="single"/>
        </w:rPr>
        <w:t>Recent Developments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Enterprise to Expand Permian Basin Processing and Mont Belvieu Area NGL Fractionation Capacity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support ongoing production growth in the Permian Basin, we announced in April 2026 plans to construct a tenth natural gas processing train (“Athena 2”) in the Midland Basin and a twelfth natural gas processing train (“Delaware Basin Plant 12”) in the Delaware Basin and in July 2026 announced plans to construct an eleventh natural gas processing train (“Midland Basin Plant 11”) in the Midland Basin and a thirteenth natural gas processing train (“Delaware Basin Plant 13”) in the Delaware Basin.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Midland Basin, each of these processing trains will have a nameplate natural gas processing capacity of 300 MMcf/d and will be able to extract more than 40 MBPD of NGLs. Athena 2 and Midland Basin Plant 11, which are supported by long-term acreage dedication agreements, are expected to be placed into service in the third quarter of 2027 and first quarter of 2029,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Delaware Basin, each of these processing trains will have a nameplate natural gas processing capacity of 300 MMcf/d and will be able to extract more than 40 MBPD of NGLs. Delaware Basin Plant 12 and Delaware Basin Plant 13, which are supported by long-term acreage dedication agreements and minimum volume commitments, are expected to be placed into service in the fourth quarter of 2027 and third quarter of 2028,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accommodate incremental NGL production from the Permian Basin, we plan to construct an additional NGL fractionator (“Frac 15”) at our Mont Belvieu area NGL fractionation complex. Frac 15 will have a nameplate capacity of 150 MBPD and is expected to be completed in the first quarter of 2028.</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Enterprise Enters Into July 2026 $1.0 Billion Incremental Credit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July 2026, EPO entered into an additional revolving credit agreement (the “July 2026 $1.0 Billion Incremental Credit Agreement”). Under the new agreement, EPO may borrow up to $1.0 billion at a variable interest rate, subject to its terms and conditions. The July 2026 $1.0 Billion Incremental Credit Agreement increases EPO’s aggregate borrowing capacity under its credit agreements to $5.2 billion and enhances our liquidity and financial flexibility to support our working capital requirements amid increased commodity price volatility. Proceeds from borrowings under the agreement may be used for working capital, capital expenditures, acquisitions and other company purposes. Amounts borrowed under the agreement mature on March 26, 2027, coinciding with the maturity date of EPO’s existing March 2026 $1.5 Billion 364-Day Revolving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Selected Energy Commodity Price Data</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selected average index prices for natural gas and selected NGL products for the periods indicated:</w:t>
      </w:r>
    </w:p>
    <w:tbl>
      <w:tblPr>
        <w:tblW w:w="6618" w:type="dxa"/>
        <w:jc w:val="left"/>
        <w:tblInd w:w="0" w:type="dxa"/>
        <w:tblLayout w:type="fixed"/>
        <w:tblCellMar>
          <w:top w:w="28" w:type="dxa"/>
          <w:left w:w="28" w:type="dxa"/>
          <w:bottom w:w="28" w:type="dxa"/>
          <w:right w:w="28" w:type="dxa"/>
        </w:tblCellMar>
      </w:tblPr>
      <w:tblGrid>
        <w:gridCol w:w="495"/>
        <w:gridCol w:w="434"/>
        <w:gridCol w:w="436"/>
        <w:gridCol w:w="278"/>
        <w:gridCol w:w="278"/>
        <w:gridCol w:w="266"/>
        <w:gridCol w:w="278"/>
        <w:gridCol w:w="278"/>
        <w:gridCol w:w="231"/>
        <w:gridCol w:w="278"/>
        <w:gridCol w:w="278"/>
        <w:gridCol w:w="256"/>
        <w:gridCol w:w="278"/>
        <w:gridCol w:w="278"/>
        <w:gridCol w:w="231"/>
        <w:gridCol w:w="285"/>
        <w:gridCol w:w="285"/>
        <w:gridCol w:w="286"/>
        <w:gridCol w:w="278"/>
        <w:gridCol w:w="278"/>
        <w:gridCol w:w="261"/>
        <w:gridCol w:w="109"/>
        <w:gridCol w:w="109"/>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Natural</w:t>
              <w:br/>
              <w:t>Gas,</w:t>
              <w:br/>
              <w:t>$/MMBtu</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Ethane,</w:t>
              <w:br/>
              <w:t>$/gallon</w:t>
            </w:r>
          </w:p>
        </w:tc>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Propane,</w:t>
              <w:br/>
              <w:t>$/gallon</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Normal</w:t>
              <w:br/>
              <w:t>Butane,</w:t>
              <w:br/>
              <w:t>$/gallon</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Isobutane,</w:t>
              <w:br/>
              <w:t>$/gallon</w:t>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Natural</w:t>
              <w:br/>
              <w:t>Gasoline,</w:t>
              <w:br/>
              <w:t>$/gallon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78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1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78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5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1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2025 by quarter:</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1st Quarter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2nd Quarter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3rd Quarter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4th Quarter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2025 Averages</w:t>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26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23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$0.75 </w:t>
            </w:r>
          </w:p>
        </w:tc>
        <w:tc>
          <w:tcPr>
            <w:tcW w:w="2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23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6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2026 by quarter:</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1st Quarter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2nd Quarter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2026 Averages</w:t>
            </w:r>
          </w:p>
        </w:tc>
        <w:tc>
          <w:tcPr>
            <w:tcW w:w="5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26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23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$0.72 </w:t>
            </w:r>
          </w:p>
        </w:tc>
        <w:tc>
          <w:tcPr>
            <w:tcW w:w="25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$0.98 </w:t>
            </w:r>
          </w:p>
        </w:tc>
        <w:tc>
          <w:tcPr>
            <w:tcW w:w="23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8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26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(1)Natural gas prices are based on Henry-Hub Inside FERC commercial index prices as reported by Platts, which is a division of S&amp;P Global, Inc.</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(2)NGL prices for ethane, propane, normal butane, isobutane and natural gasoline are based on Mont Belvieu, Texas Non-TET commercial index prices as reported by Oil Price Information Service, which is a division of Dow Jones.</w:t>
      </w:r>
    </w:p>
    <w:p>
      <w:pPr>
        <w:pStyle w:val="TextBody"/>
        <w:bidi w:val="0"/>
        <w:spacing w:before="0" w:after="0"/>
        <w:ind w:left="0" w:right="0" w:hanging="45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weighted-average indicative market price for NGLs was $0.68 per gallon in the second quarter of 2026 versus $0.58 per gallon in the second quarter of 2025. Likewise, the weighted-average indicative market price for NGLs was $0.63 per gallon during the six months ended June 30, 2026 compared to $0.63 during the six months ended June 30, 2025.</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selected average index prices for crude oil for the periods indicated:</w:t>
      </w:r>
    </w:p>
    <w:tbl>
      <w:tblPr>
        <w:tblW w:w="4265" w:type="dxa"/>
        <w:jc w:val="left"/>
        <w:tblInd w:w="0" w:type="dxa"/>
        <w:tblLayout w:type="fixed"/>
        <w:tblCellMar>
          <w:top w:w="28" w:type="dxa"/>
          <w:left w:w="28" w:type="dxa"/>
          <w:bottom w:w="28" w:type="dxa"/>
          <w:right w:w="28" w:type="dxa"/>
        </w:tblCellMar>
      </w:tblPr>
      <w:tblGrid>
        <w:gridCol w:w="495"/>
        <w:gridCol w:w="434"/>
        <w:gridCol w:w="436"/>
        <w:gridCol w:w="323"/>
        <w:gridCol w:w="323"/>
        <w:gridCol w:w="291"/>
        <w:gridCol w:w="323"/>
        <w:gridCol w:w="323"/>
        <w:gridCol w:w="291"/>
        <w:gridCol w:w="323"/>
        <w:gridCol w:w="323"/>
        <w:gridCol w:w="380"/>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WTI</w:t>
              <w:br/>
              <w:t>Crude Oil,</w:t>
              <w:br/>
              <w:t>$/barrel</w:t>
            </w:r>
          </w:p>
        </w:tc>
        <w:tc>
          <w:tcPr>
            <w:tcW w:w="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Midland</w:t>
              <w:br/>
              <w:t>Crude Oil,</w:t>
              <w:br/>
              <w:t>$/barrel</w:t>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Houston</w:t>
              <w:br/>
              <w:t>Crude Oil,</w:t>
              <w:br/>
              <w:t>$/barrel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3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2025 by quarter:</w:t>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1st Quarter</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$71.42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$72.81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2nd Quarter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$64.65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3rd Quarter</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$65.76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$66.09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4th Quarter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$59.77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2025 Averages</w:t>
            </w:r>
          </w:p>
        </w:tc>
        <w:tc>
          <w:tcPr>
            <w:tcW w:w="64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$64.84 </w:t>
            </w:r>
          </w:p>
        </w:tc>
        <w:tc>
          <w:tcPr>
            <w:tcW w:w="29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$65.62 </w:t>
            </w:r>
          </w:p>
        </w:tc>
        <w:tc>
          <w:tcPr>
            <w:tcW w:w="29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$65.90 </w:t>
            </w:r>
          </w:p>
        </w:tc>
        <w:tc>
          <w:tcPr>
            <w:tcW w:w="38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2026 by quarter:</w:t>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1st Quarter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$71.93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$73.97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2nd Quarter</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$92.71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$94.61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$95.28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2026 Averages</w:t>
            </w:r>
          </w:p>
        </w:tc>
        <w:tc>
          <w:tcPr>
            <w:tcW w:w="64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$82.32 </w:t>
            </w:r>
          </w:p>
        </w:tc>
        <w:tc>
          <w:tcPr>
            <w:tcW w:w="29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$84.29 </w:t>
            </w:r>
          </w:p>
        </w:tc>
        <w:tc>
          <w:tcPr>
            <w:tcW w:w="29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380"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(1)WTI prices are based on commercial index prices at Cushing, Oklahoma as measured by the NYMEX.</w:t>
      </w:r>
    </w:p>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(2)Midland and Houston crude oil prices are based on commercial index prices as reported by Argus.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Fluctuations in our consolidated revenues and cost of sales amounts are explained in large part by changes in energy commodity prices. An increase in our consolidated marketing revenues due to higher energy commodity sales prices may not result in an increase in gross operating margin or cash available for distribution, since our consolidated cost of sales amounts would also be expected to increase due to comparable increases in the purchase prices of the underlying energy commodities. The same type of relationship would be true in the case of lower energy commodity sales prices and purchase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We attempt to mitigate commodity price exposure through our hedging activities and the use of fee-based arrangements. See </w:t>
      </w:r>
      <w:r>
        <w:rPr>
          <w:rFonts w:ascii="Times New Roman;serif" w:hAnsi="Times New Roman;serif"/>
          <w:b w:val="false"/>
          <w:color w:val="000000"/>
          <w:sz w:val="20"/>
        </w:rPr>
        <w:t>Note 13</w:t>
      </w:r>
      <w:r>
        <w:rPr>
          <w:color w:val="000000"/>
          <w:shd w:fill="FFFFFF" w:val="clear"/>
        </w:rPr>
        <w:t xml:space="preserve"> </w:t>
      </w:r>
      <w:r>
        <w:rPr>
          <w:rFonts w:ascii="Times New Roman;serif" w:hAnsi="Times New Roman;serif"/>
          <w:b w:val="false"/>
          <w:color w:val="000000"/>
          <w:sz w:val="20"/>
          <w:shd w:fill="FFFFFF" w:val="clear"/>
        </w:rPr>
        <w:t>of the Notes to Unaudited Condensed Consolidated Financial Statements included under Part I, Item 1 of this quarterly report and “</w:t>
      </w:r>
      <w:r>
        <w:rPr>
          <w:rFonts w:ascii="Times New Roman;serif" w:hAnsi="Times New Roman;serif"/>
          <w:b w:val="false"/>
          <w:i/>
          <w:color w:val="000000"/>
          <w:sz w:val="20"/>
          <w:shd w:fill="FFFFFF" w:val="clear"/>
        </w:rPr>
        <w:t>Quantitative and Qualitative Disclosures About Market Risk</w:t>
      </w:r>
      <w:r>
        <w:rPr>
          <w:color w:val="000000"/>
          <w:shd w:fill="FFFFFF" w:val="clear"/>
        </w:rPr>
        <w:t xml:space="preserve">” </w:t>
      </w:r>
      <w:r>
        <w:rPr>
          <w:rFonts w:ascii="Times New Roman;serif" w:hAnsi="Times New Roman;serif"/>
          <w:b w:val="false"/>
          <w:color w:val="000000"/>
          <w:sz w:val="20"/>
          <w:shd w:fill="FFFFFF" w:val="clear"/>
        </w:rPr>
        <w:t>under Part I, Item 3 of this quarterly report for information regarding our commodity hedging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u w:val="single"/>
        </w:rPr>
      </w:pPr>
      <w:r>
        <w:rPr>
          <w:rFonts w:ascii="Times New Roman;serif" w:hAnsi="Times New Roman;serif"/>
          <w:b/>
          <w:color w:val="000000"/>
          <w:sz w:val="20"/>
          <w:u w:val="single"/>
        </w:rPr>
        <w:t>Impact of Inflation</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Inflation rates in the U.S., which are generally influenced by a variety of macroeconomic and policy-related factors, have moderated from prior levels, but remain a relevant consideration for the overall cost environment. In addition, there is uncertainty of what effect, if any, trade tariffs will have on inflation in future periods. However, to the extent that a rising cost environment impacts our results, there are typically offsetting benefits either inherent in our business or that result from other steps we take proactively to reduce the impact of inflation on our net operating results. These benefits include: (1) provisions included in our long-term fee-based revenue contracts that offset cost increases in the form of rate escalations based on positive changes in the U.S. Consumer Price Index, Producer Price Index for Finished Goods or other factors; (2) provisions in other revenue contracts that enable us to pass through higher energy costs to customers in the form of gas, electricity and fuel rebills or surcharges; and (3) higher commodity prices, which generally enhance our results in the form of increased volumetric throughput and demand for our services. Additionally, we take measures to mitigate the impact of cost increases in certain commodities, including a portion of our electricity needs, using fixed-price, term purchase agreements, or financial derivatives. For these reasons, the increased cost environment, caused in part by inflation, has not had a material impact on our historical results of operations for the periods presented in this report. However, a significant or prolonged period of high inflation could adversely impact our results if costs were to increase at a rate greater than the increase in the revenues we receive.</w:t>
      </w:r>
    </w:p>
    <w:p>
      <w:pPr>
        <w:pStyle w:val="TextBody"/>
        <w:bidi w:val="0"/>
        <w:spacing w:lineRule="auto" w:line="288" w:before="0" w:after="240"/>
        <w:jc w:val="both"/>
        <w:rPr/>
      </w:pPr>
      <w:r>
        <w:rPr>
          <w:rFonts w:ascii="Times New Roman;serif" w:hAnsi="Times New Roman;serif"/>
          <w:b w:val="false"/>
          <w:color w:val="000000"/>
          <w:sz w:val="20"/>
          <w:shd w:fill="FFFFFF" w:val="clear"/>
        </w:rPr>
        <w:t>See “</w:t>
      </w:r>
      <w:r>
        <w:rPr>
          <w:rFonts w:ascii="Times New Roman;serif" w:hAnsi="Times New Roman;serif"/>
          <w:b w:val="false"/>
          <w:i/>
          <w:color w:val="000000"/>
          <w:sz w:val="20"/>
          <w:shd w:fill="FFFFFF" w:val="clear"/>
        </w:rPr>
        <w:t>Capital Investments</w:t>
      </w:r>
      <w:r>
        <w:rPr>
          <w:color w:val="000000"/>
          <w:shd w:fill="FFFFFF" w:val="clear"/>
        </w:rPr>
        <w:t xml:space="preserve">” </w:t>
      </w:r>
      <w:r>
        <w:rPr>
          <w:rFonts w:ascii="Times New Roman;serif" w:hAnsi="Times New Roman;serif"/>
          <w:b w:val="false"/>
          <w:color w:val="000000"/>
          <w:sz w:val="20"/>
          <w:shd w:fill="FFFFFF" w:val="clear"/>
        </w:rPr>
        <w:t>within this Part I, Item 2 for a discussion of the impact of inflation on our capital investment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Income Statement Highlights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key components of our consolidated results of operations for the periods indicated (dollars in millions):</w:t>
      </w:r>
    </w:p>
    <w:tbl>
      <w:tblPr>
        <w:tblW w:w="8669" w:type="dxa"/>
        <w:jc w:val="left"/>
        <w:tblInd w:w="0" w:type="dxa"/>
        <w:tblLayout w:type="fixed"/>
        <w:tblCellMar>
          <w:top w:w="28" w:type="dxa"/>
          <w:left w:w="28" w:type="dxa"/>
          <w:bottom w:w="28" w:type="dxa"/>
          <w:right w:w="28" w:type="dxa"/>
        </w:tblCellMar>
      </w:tblPr>
      <w:tblGrid>
        <w:gridCol w:w="1392"/>
        <w:gridCol w:w="1218"/>
        <w:gridCol w:w="122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18,269 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11,363 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32,655 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26,780 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costs and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costs and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attributable to asset sales and related matters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costs and expenses</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16,065 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28,568 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23,282 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costs</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costs and expenses</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16,129 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9,660 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28,696 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23,410 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of unconsolidated affiliates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3,556 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 net</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1,470 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3,386 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2,900 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Provision for income taxes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1,856 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1,454 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3,352 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preferred units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unitholders</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1,840 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3,322 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2,828 </w:t>
            </w:r>
          </w:p>
        </w:tc>
        <w:tc>
          <w:tcPr>
            <w:tcW w:w="15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each business segment’s contribution to consolidated revenues for the periods indicated (dollars in millions):</w:t>
      </w:r>
    </w:p>
    <w:tbl>
      <w:tblPr>
        <w:tblW w:w="8144" w:type="dxa"/>
        <w:jc w:val="left"/>
        <w:tblInd w:w="0" w:type="dxa"/>
        <w:tblLayout w:type="fixed"/>
        <w:tblCellMar>
          <w:top w:w="28" w:type="dxa"/>
          <w:left w:w="28" w:type="dxa"/>
          <w:bottom w:w="28" w:type="dxa"/>
          <w:right w:w="28" w:type="dxa"/>
        </w:tblCellMar>
      </w:tblPr>
      <w:tblGrid>
        <w:gridCol w:w="1202"/>
        <w:gridCol w:w="1054"/>
        <w:gridCol w:w="1058"/>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NGL Pipelines &amp; Services:</w:t>
            </w:r>
          </w:p>
        </w:tc>
        <w:tc>
          <w:tcPr>
            <w:tcW w:w="9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NGLs and related products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9,266 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8,806 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Crude Oil Pipelines &amp; Services:</w:t>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crude oil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8,339 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14,638 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9,904 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Natural Gas Pipelines &amp; Services:</w:t>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natural gas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2,292 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Petrochemical &amp; Refined Products Services:</w:t>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petrochemicals and refined products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6,985 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5,778 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consolidated revenues</w:t>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18,269 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11,363 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32,655 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26,780 </w:t>
            </w:r>
          </w:p>
        </w:tc>
        <w:tc>
          <w:tcPr>
            <w:tcW w:w="1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Compared to </w:t>
      </w: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2025</w:t>
      </w:r>
      <w:r>
        <w:rPr>
          <w:rFonts w:ascii="Times New Roman;serif" w:hAnsi="Times New Roman;serif"/>
          <w:b w:val="false"/>
          <w:color w:val="000000"/>
          <w:sz w:val="20"/>
          <w:shd w:fill="FFFFFF" w:val="clear"/>
        </w:rPr>
        <w:t xml:space="preserve">. Total revenues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$6.9 billion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primarily due to </w:t>
      </w:r>
      <w:r>
        <w:rPr>
          <w:rFonts w:ascii="Times New Roman;serif" w:hAnsi="Times New Roman;serif"/>
          <w:b w:val="false"/>
          <w:color w:val="000000"/>
          <w:sz w:val="20"/>
        </w:rPr>
        <w:t>higher</w:t>
      </w:r>
      <w:r>
        <w:rPr>
          <w:color w:val="000000"/>
          <w:shd w:fill="FFFFFF" w:val="clear"/>
        </w:rPr>
        <w:t xml:space="preserve"> </w:t>
      </w:r>
      <w:r>
        <w:rPr>
          <w:rFonts w:ascii="Times New Roman;serif" w:hAnsi="Times New Roman;serif"/>
          <w:b w:val="false"/>
          <w:color w:val="000000"/>
          <w:sz w:val="20"/>
          <w:shd w:fill="FFFFFF" w:val="clear"/>
        </w:rPr>
        <w:t>marketing revenues.</w:t>
      </w:r>
    </w:p>
    <w:p>
      <w:pPr>
        <w:pStyle w:val="TextBody"/>
        <w:bidi w:val="0"/>
        <w:spacing w:lineRule="auto" w:line="288" w:before="0" w:after="240"/>
        <w:jc w:val="both"/>
        <w:rPr/>
      </w:pPr>
      <w:r>
        <w:rPr>
          <w:rFonts w:ascii="Times New Roman;serif" w:hAnsi="Times New Roman;serif"/>
          <w:b w:val="false"/>
          <w:color w:val="000000"/>
          <w:sz w:val="20"/>
          <w:shd w:fill="FFFFFF" w:val="clear"/>
        </w:rPr>
        <w:t>Revenues from the marketing of crude oil, NGLs and petrochemicals and refined products increased a combined $</w:t>
      </w:r>
      <w:r>
        <w:rPr>
          <w:rFonts w:ascii="Times New Roman;serif" w:hAnsi="Times New Roman;serif"/>
          <w:b w:val="false"/>
          <w:color w:val="000000"/>
          <w:sz w:val="20"/>
        </w:rPr>
        <w:t>7.2 billion</w:t>
      </w:r>
      <w:r>
        <w:rPr>
          <w:color w:val="000000"/>
          <w:shd w:fill="FFFFFF" w:val="clear"/>
        </w:rPr>
        <w:t xml:space="preserve"> </w:t>
      </w:r>
      <w:r>
        <w:rPr>
          <w:rFonts w:ascii="Times New Roman;serif" w:hAnsi="Times New Roman;serif"/>
          <w:b w:val="false"/>
          <w:color w:val="000000"/>
          <w:sz w:val="20"/>
          <w:shd w:fill="FFFFFF" w:val="clear"/>
        </w:rPr>
        <w:t>quarter-to-quarter primarily due to higher average sales prices, which accounted for a $4.2 billion increase, and higher sales volumes, which accounted for an additional $3.0 billion increase. Revenues from the marketing of natural gas decreased $</w:t>
      </w:r>
      <w:r>
        <w:rPr>
          <w:rFonts w:ascii="Times New Roman;serif" w:hAnsi="Times New Roman;serif"/>
          <w:b w:val="false"/>
          <w:color w:val="000000"/>
          <w:sz w:val="20"/>
        </w:rPr>
        <w:t xml:space="preserve">465 </w:t>
      </w:r>
      <w:r>
        <w:rPr>
          <w:rFonts w:ascii="Times New Roman;serif" w:hAnsi="Times New Roman;serif"/>
          <w:b w:val="false"/>
          <w:color w:val="000000"/>
          <w:sz w:val="20"/>
          <w:shd w:fill="FFFFFF" w:val="clear"/>
        </w:rPr>
        <w:t xml:space="preserve">million quarter-to-quarter primarily due to lower average sales prices. </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Revenues from midstream services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$129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 Revenues from our natural gas processing facilities increased $111 million quarter-to-quarter primarily due to higher market values for the equity NGL-equivalent production volumes we received as non-cash consideration for processing services. Revenues from our natural gas transportation assets increased $52 million quarter-to-quarter primarily due to higher demand for transportation services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i/>
          <w:color w:val="000000"/>
          <w:sz w:val="20"/>
        </w:rPr>
        <w:t>Six Months Ended June 30, 2026 Compared to Six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Total revenues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$5.9 billion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color w:val="000000"/>
          <w:shd w:fill="FFFFFF" w:val="clear"/>
        </w:rPr>
        <w:t xml:space="preserve"> </w:t>
      </w:r>
      <w:r>
        <w:rPr>
          <w:rFonts w:ascii="Times New Roman;serif" w:hAnsi="Times New Roman;serif"/>
          <w:b w:val="false"/>
          <w:color w:val="000000"/>
          <w:sz w:val="20"/>
          <w:shd w:fill="FFFFFF" w:val="clear"/>
        </w:rPr>
        <w:t xml:space="preserve">primarily due to </w:t>
      </w:r>
      <w:r>
        <w:rPr>
          <w:rFonts w:ascii="Times New Roman;serif" w:hAnsi="Times New Roman;serif"/>
          <w:b w:val="false"/>
          <w:color w:val="000000"/>
          <w:sz w:val="20"/>
        </w:rPr>
        <w:t>higher</w:t>
      </w:r>
      <w:r>
        <w:rPr>
          <w:color w:val="000000"/>
          <w:shd w:fill="FFFFFF" w:val="clear"/>
        </w:rPr>
        <w:t xml:space="preserve"> </w:t>
      </w:r>
      <w:r>
        <w:rPr>
          <w:rFonts w:ascii="Times New Roman;serif" w:hAnsi="Times New Roman;serif"/>
          <w:b w:val="false"/>
          <w:color w:val="000000"/>
          <w:sz w:val="20"/>
          <w:shd w:fill="FFFFFF" w:val="clear"/>
        </w:rPr>
        <w:t>marketing revenues.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Revenues from the marketing of crude oil and petrochemicals and refined products increased a combined $5.9 billion period-to-period primarily due to higher sales volumes, which accounted for a $3.1 billion increase, and higher average sales prices, which accounted for an additional $2.8 billion increase. Revenues from the marketing of NGLs increased $370 million period-to-period primarily due to higher sales volumes. Revenues from the marketing of natural gas decreased $620 million period-to-period primarily due to lower average sales prices. </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Revenues from midstream services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$180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Revenues from our natural gas processing facilities increased $101 million period-to-period primarily due to higher market values for the equity NGL-equivalent production volumes we receive as non-cash consideration for processing services. Revenues from our natural gas transportation assets increased $91 million period-to-period primarily due to higher demand for transportation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costs and expenses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Total operating costs and expenses for the </w:t>
      </w:r>
      <w:r>
        <w:rPr>
          <w:rFonts w:ascii="Times New Roman;serif" w:hAnsi="Times New Roman;serif"/>
          <w:b w:val="false"/>
          <w:color w:val="000000"/>
          <w:sz w:val="20"/>
        </w:rPr>
        <w:t>three and 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$6.5 billion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$5.3 billion, respectively,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same periods in 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Cost of sales</w:t>
      </w:r>
    </w:p>
    <w:p>
      <w:pPr>
        <w:pStyle w:val="TextBody"/>
        <w:bidi w:val="0"/>
        <w:spacing w:lineRule="auto" w:line="288" w:before="0" w:after="240"/>
        <w:jc w:val="both"/>
        <w:rPr/>
      </w:pP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Compared to </w:t>
      </w: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2025</w:t>
      </w:r>
      <w:r>
        <w:rPr>
          <w:rFonts w:ascii="Times New Roman;serif" w:hAnsi="Times New Roman;serif"/>
          <w:b w:val="false"/>
          <w:color w:val="000000"/>
          <w:sz w:val="20"/>
          <w:shd w:fill="FFFFFF" w:val="clear"/>
        </w:rPr>
        <w:t xml:space="preserve">. Cost of sales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a net </w:t>
      </w:r>
      <w:r>
        <w:rPr>
          <w:rFonts w:ascii="Times New Roman;serif" w:hAnsi="Times New Roman;serif"/>
          <w:b w:val="false"/>
          <w:color w:val="000000"/>
          <w:sz w:val="20"/>
        </w:rPr>
        <w:t>$6.3 billion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The cost of sales associated with the marketing of crude oil, NGLs and petrochemicals and refined products increased a combined </w:t>
      </w:r>
      <w:r>
        <w:rPr>
          <w:rFonts w:ascii="Times New Roman;serif" w:hAnsi="Times New Roman;serif"/>
          <w:b w:val="false"/>
          <w:color w:val="000000"/>
          <w:sz w:val="20"/>
        </w:rPr>
        <w:t>$6.3 billion</w:t>
      </w:r>
      <w:r>
        <w:rPr>
          <w:color w:val="000000"/>
          <w:shd w:fill="FFFFFF" w:val="clear"/>
        </w:rPr>
        <w:t xml:space="preserve"> </w:t>
      </w:r>
      <w:r>
        <w:rPr>
          <w:rFonts w:ascii="Times New Roman;serif" w:hAnsi="Times New Roman;serif"/>
          <w:b w:val="false"/>
          <w:color w:val="000000"/>
          <w:sz w:val="20"/>
          <w:shd w:fill="FFFFFF" w:val="clear"/>
        </w:rPr>
        <w:t xml:space="preserve">quarter-to-quarter primarily due to higher average purchase prices, which accounted for a $3.3 billion increase, and higher volumes, which accounted for an additional $3.0 billion increase.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i/>
          <w:color w:val="000000"/>
          <w:sz w:val="20"/>
        </w:rPr>
        <w:t>Six Months Ended June 30, 2026 Compared to Six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Cost of sales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a net </w:t>
      </w:r>
      <w:r>
        <w:rPr>
          <w:rFonts w:ascii="Times New Roman;serif" w:hAnsi="Times New Roman;serif"/>
          <w:b w:val="false"/>
          <w:color w:val="000000"/>
          <w:sz w:val="20"/>
        </w:rPr>
        <w:t>$4.9 billion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The cost of sales associated with the marketing of crude oil and petrochemicals and refined products increased a combined $5.8 billion period-to-period primarily due to higher volumes, which accounted for a $3.0 billion increase, and higher average purchase prices, which accounted for an additional $2.8 billion increase. The cost of sales associated with the marketing of NGLs and natural gas decreased a combined net $850 million period-to-period primarily due to lower average purchase prices, which accounted for a $1.2 billion decrease, partially offset by higher volumes, which accounted for a $338 million increase.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Other operating costs and expenses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Other operating costs and expenses for the </w:t>
      </w:r>
      <w:r>
        <w:rPr>
          <w:rFonts w:ascii="Times New Roman;serif" w:hAnsi="Times New Roman;serif"/>
          <w:b w:val="false"/>
          <w:color w:val="000000"/>
          <w:sz w:val="20"/>
        </w:rPr>
        <w:t>three and 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$130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$205 million, respectively,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 xml:space="preserve">same periods in 2025 </w:t>
      </w:r>
      <w:r>
        <w:rPr>
          <w:rFonts w:ascii="Times New Roman;serif" w:hAnsi="Times New Roman;serif"/>
          <w:b w:val="false"/>
          <w:color w:val="000000"/>
          <w:sz w:val="20"/>
          <w:shd w:fill="FFFFFF" w:val="clear"/>
        </w:rPr>
        <w:t>primarily due to higher compensation, chemical costs, ad valorem taxes, maintenance and other operating costs.</w:t>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Depreciation, amortization and accretion expenses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Depreciation, amortization and accretion expense for the </w:t>
      </w:r>
      <w:r>
        <w:rPr>
          <w:rFonts w:ascii="Times New Roman;serif" w:hAnsi="Times New Roman;serif"/>
          <w:b w:val="false"/>
          <w:color w:val="000000"/>
          <w:sz w:val="20"/>
        </w:rPr>
        <w:t>three and 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$79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$143 million, respectively,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same periods in 2025</w:t>
      </w:r>
      <w:r>
        <w:rPr>
          <w:color w:val="000000"/>
          <w:shd w:fill="FFFFFF" w:val="clear"/>
        </w:rPr>
        <w:t xml:space="preserve"> </w:t>
      </w:r>
      <w:r>
        <w:rPr>
          <w:rFonts w:ascii="Times New Roman;serif" w:hAnsi="Times New Roman;serif"/>
          <w:b w:val="false"/>
          <w:color w:val="000000"/>
          <w:sz w:val="20"/>
          <w:shd w:fill="FFFFFF" w:val="clear"/>
        </w:rPr>
        <w:t xml:space="preserve">primarily due to higher depreciation expense on assets placed into full or limited service since the end of the respective periods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General and administrative costs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General and administrative costs for the three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rPr>
        <w:t xml:space="preserve">$4 million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same period in 2025</w:t>
      </w:r>
      <w:r>
        <w:rPr>
          <w:color w:val="000000"/>
          <w:shd w:fill="FFFFFF" w:val="clear"/>
        </w:rPr>
        <w:t xml:space="preserve"> </w:t>
      </w:r>
      <w:r>
        <w:rPr>
          <w:rFonts w:ascii="Times New Roman;serif" w:hAnsi="Times New Roman;serif"/>
          <w:b w:val="false"/>
          <w:color w:val="000000"/>
          <w:sz w:val="20"/>
          <w:shd w:fill="FFFFFF" w:val="clear"/>
        </w:rPr>
        <w:t xml:space="preserve">primarily due to lower compensation costs. General and administrative costs for the </w:t>
      </w:r>
      <w:r>
        <w:rPr>
          <w:rFonts w:ascii="Times New Roman;serif" w:hAnsi="Times New Roman;serif"/>
          <w:b w:val="false"/>
          <w:color w:val="000000"/>
          <w:sz w:val="20"/>
        </w:rPr>
        <w:t>six months ended June 30, 2026 were flat when compared to the same period in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Equity in income of unconsolidated affiliates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Equity income from our unconsolidated affiliates for the three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 xml:space="preserve">$17 million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same period in 2025</w:t>
      </w:r>
      <w:r>
        <w:rPr>
          <w:color w:val="000000"/>
          <w:shd w:fill="FFFFFF" w:val="clear"/>
        </w:rPr>
        <w:t xml:space="preserve"> </w:t>
      </w:r>
      <w:r>
        <w:rPr>
          <w:rFonts w:ascii="Times New Roman;serif" w:hAnsi="Times New Roman;serif"/>
          <w:b w:val="false"/>
          <w:color w:val="000000"/>
          <w:sz w:val="20"/>
          <w:shd w:fill="FFFFFF" w:val="clear"/>
        </w:rPr>
        <w:t xml:space="preserve">primarily due to higher earnings from investments in crude pipelines. Equity income from our unconsolidated affiliates for the </w:t>
      </w:r>
      <w:r>
        <w:rPr>
          <w:rFonts w:ascii="Times New Roman;serif" w:hAnsi="Times New Roman;serif"/>
          <w:b w:val="false"/>
          <w:color w:val="000000"/>
          <w:sz w:val="20"/>
        </w:rPr>
        <w:t>six months ended June 30, 2026 decreased $1 million when compared to the same period in 2025.</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income</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Operating income for the </w:t>
      </w:r>
      <w:r>
        <w:rPr>
          <w:rFonts w:ascii="Times New Roman;serif" w:hAnsi="Times New Roman;serif"/>
          <w:b w:val="false"/>
          <w:color w:val="000000"/>
          <w:sz w:val="20"/>
        </w:rPr>
        <w:t>three and 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$454 million and $588 million, respectively,</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same periods in 2025</w:t>
      </w:r>
      <w:r>
        <w:rPr>
          <w:color w:val="000000"/>
          <w:shd w:fill="FFFFFF" w:val="clear"/>
        </w:rPr>
        <w:t xml:space="preserve"> </w:t>
      </w:r>
      <w:r>
        <w:rPr>
          <w:rFonts w:ascii="Times New Roman;serif" w:hAnsi="Times New Roman;serif"/>
          <w:b w:val="false"/>
          <w:color w:val="000000"/>
          <w:sz w:val="20"/>
          <w:shd w:fill="FFFFFF" w:val="clear"/>
        </w:rPr>
        <w:t xml:space="preserve">due to the previously described </w:t>
      </w:r>
      <w:r>
        <w:rPr>
          <w:rFonts w:ascii="Times New Roman;serif" w:hAnsi="Times New Roman;serif"/>
          <w:b w:val="false"/>
          <w:color w:val="000000"/>
          <w:sz w:val="20"/>
        </w:rPr>
        <w:t>quarter-to-quarter and period-to-period</w:t>
      </w:r>
      <w:r>
        <w:rPr>
          <w:color w:val="000000"/>
          <w:shd w:fill="FFFFFF" w:val="clear"/>
        </w:rPr>
        <w:t xml:space="preserve"> </w:t>
      </w:r>
      <w:r>
        <w:rPr>
          <w:rFonts w:ascii="Times New Roman;serif" w:hAnsi="Times New Roman;serif"/>
          <w:b w:val="false"/>
          <w:color w:val="000000"/>
          <w:sz w:val="20"/>
          <w:shd w:fill="FFFFFF" w:val="clear"/>
        </w:rPr>
        <w:t>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components of our consolidated interest expense for the periods indicated (dollars in millions):</w:t>
      </w:r>
    </w:p>
    <w:tbl>
      <w:tblPr>
        <w:tblW w:w="9000" w:type="dxa"/>
        <w:jc w:val="left"/>
        <w:tblInd w:w="0" w:type="dxa"/>
        <w:tblLayout w:type="fixed"/>
        <w:tblCellMar>
          <w:top w:w="28" w:type="dxa"/>
          <w:left w:w="28" w:type="dxa"/>
          <w:bottom w:w="28" w:type="dxa"/>
          <w:right w:w="28" w:type="dxa"/>
        </w:tblCellMar>
      </w:tblPr>
      <w:tblGrid>
        <w:gridCol w:w="1835"/>
        <w:gridCol w:w="1612"/>
        <w:gridCol w:w="1623"/>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1835"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charged on debt principal outstanding (1)</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interest rate hedging program, including related amortization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costs capitalized in connection with construction projects (2)</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(1)The weighted-average interest rates on debt principal outstanding during the three and six months ended June 30, 2026 were 4.66% and 4.68%, respectively. The weighted-average interest rates on debt principal outstanding during the three and six months ended June 30, 2025 were 4.67% and 4.68%, respectively.</w:t>
      </w:r>
    </w:p>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(2)We capitalize interest costs incurred on funds used to construct property, plant and equipment while the asset is in its construction phase. Capitalized interest amounts become part of the historical cost of an asset and are charged to earnings (as a component of depreciation expense) on a straight-line basis over the estimated useful life of the asset once the asset enters its intended service. When capitalized interest is recorded, it reduces interest expense from what it would be otherwise. Capitalized interest amounts fluctuate based on the timing of when projects are placed into service, our capital investment levels and the interest rates charged on borrowings.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Interest charged on debt principal outstanding, which is a key driver of interest expense,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a net </w:t>
      </w:r>
      <w:r>
        <w:rPr>
          <w:rFonts w:ascii="Times New Roman;serif" w:hAnsi="Times New Roman;serif"/>
          <w:b w:val="false"/>
          <w:color w:val="000000"/>
          <w:sz w:val="20"/>
        </w:rPr>
        <w:t xml:space="preserve">$21 million </w:t>
      </w:r>
      <w:r>
        <w:rPr>
          <w:rFonts w:ascii="Times New Roman;serif" w:hAnsi="Times New Roman;serif"/>
          <w:b w:val="false"/>
          <w:color w:val="000000"/>
          <w:sz w:val="20"/>
          <w:shd w:fill="FFFFFF" w:val="clear"/>
        </w:rPr>
        <w:t xml:space="preserve">quarter-to-quarter and a net </w:t>
      </w:r>
      <w:r>
        <w:rPr>
          <w:rFonts w:ascii="Times New Roman;serif" w:hAnsi="Times New Roman;serif"/>
          <w:b w:val="false"/>
          <w:color w:val="000000"/>
          <w:sz w:val="20"/>
        </w:rPr>
        <w:t>$45 million period-to-period</w:t>
      </w:r>
      <w:r>
        <w:rPr>
          <w:rFonts w:ascii="Times New Roman;serif" w:hAnsi="Times New Roman;serif"/>
          <w:b w:val="false"/>
          <w:color w:val="000000"/>
          <w:sz w:val="20"/>
          <w:shd w:fill="FFFFFF" w:val="clear"/>
        </w:rPr>
        <w:t>. These increases were primarily due to the issuance of $2.0 billion and $1.65 billion of fixed-rate senior notes in June 2025 and November 2025, respectively, which accounted for a combined increase of $41 million quarter-to-quarter and $85 million period-to-period. These increases were partially offset by the retirement of $750 million and $875 million of fixed-rate senior notes in January 2026 and February 2026, respectively, which accounted for a combined decrease of $18 million quarter-to-quarter and $30 million period-to-period.</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For additional information regarding our debt obligations, see </w:t>
      </w:r>
      <w:r>
        <w:rPr>
          <w:rFonts w:ascii="Times New Roman;serif" w:hAnsi="Times New Roman;serif"/>
          <w:b w:val="false"/>
          <w:color w:val="000000"/>
          <w:sz w:val="20"/>
        </w:rPr>
        <w:t>Note 7</w:t>
      </w:r>
      <w:r>
        <w:rPr>
          <w:color w:val="000000"/>
          <w:shd w:fill="FFFFFF" w:val="clear"/>
        </w:rPr>
        <w:t xml:space="preserve"> </w:t>
      </w:r>
      <w:r>
        <w:rPr>
          <w:rFonts w:ascii="Times New Roman;serif" w:hAnsi="Times New Roman;serif"/>
          <w:b w:val="false"/>
          <w:color w:val="000000"/>
          <w:sz w:val="20"/>
          <w:shd w:fill="FFFFFF" w:val="clear"/>
        </w:rPr>
        <w:t>of the Notes to Unaudited Condensed Consolidated Financial Statements included under Part I, Item 1 of this quarterly report. For a discussion of our capital projects, see “</w:t>
      </w:r>
      <w:r>
        <w:rPr>
          <w:rFonts w:ascii="Times New Roman;serif" w:hAnsi="Times New Roman;serif"/>
          <w:b w:val="false"/>
          <w:i/>
          <w:color w:val="000000"/>
          <w:sz w:val="20"/>
          <w:shd w:fill="FFFFFF" w:val="clear"/>
        </w:rPr>
        <w:t>Capital Investments</w:t>
      </w:r>
      <w:r>
        <w:rPr>
          <w:color w:val="000000"/>
          <w:shd w:fill="FFFFFF" w:val="clear"/>
        </w:rPr>
        <w:t xml:space="preserve">” </w:t>
      </w:r>
      <w:r>
        <w:rPr>
          <w:rFonts w:ascii="Times New Roman;serif" w:hAnsi="Times New Roman;serif"/>
          <w:b w:val="false"/>
          <w:color w:val="000000"/>
          <w:sz w:val="20"/>
          <w:shd w:fill="FFFFFF" w:val="clear"/>
        </w:rPr>
        <w:t>within this Part I, Item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Business Segment Highlights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operations are reported under four business segments: (i) NGL Pipelines &amp; Services, (ii) Crude Oil Pipelines &amp; Services, (iii) Natural Gas Pipelines &amp; Services and (iv) Petrochemical &amp; Refined Products Services. Our business segments are generally organized and managed according to the types of services rendered (or technologies employed) and products produced and/or sold.</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evaluate segment performance based on our financial measure of gross operating margin. Gross operating margin is an important performance measure of the core profitability of our operations and forms the basis of our internal financial reporting. We believe that investors benefit from having access to the same financial measures that our management uses in evaluating segment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gross operating margin by segment and total gross operating margin, a non-generally accepted accounting principle (“non-GAAP”) financial measure, for the periods indicated (dollars in millions):</w:t>
      </w:r>
    </w:p>
    <w:tbl>
      <w:tblPr>
        <w:tblW w:w="7590" w:type="dxa"/>
        <w:jc w:val="left"/>
        <w:tblInd w:w="0" w:type="dxa"/>
        <w:tblLayout w:type="fixed"/>
        <w:tblCellMar>
          <w:top w:w="28" w:type="dxa"/>
          <w:left w:w="28" w:type="dxa"/>
          <w:bottom w:w="28" w:type="dxa"/>
          <w:right w:w="28" w:type="dxa"/>
        </w:tblCellMar>
      </w:tblPr>
      <w:tblGrid>
        <w:gridCol w:w="1130"/>
        <w:gridCol w:w="991"/>
        <w:gridCol w:w="99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operating margin by segment:</w:t>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tcMar>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Pipelines &amp;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Pipelines &amp; Services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Pipelines &amp; Services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Petrochemical &amp; Refined Products Services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gross operating margin (1)</w:t>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4,935 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adjustment for shipper make-up rights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gross operating margin (non-GAAP)</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4,908 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(1)Within the context of this table, total segment gross operating margin represents a subtotal and corresponds to measures similarly titled within our business segment disclosures found under Note 10 of the Notes to Unaudited Condensed Consolidated Financial Statements included under Part I, Item 1 of this quarterly report.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includes equity in the earnings of unconsolidated affiliates, but is exclusive of other income and expense transactions, income taxes, the cumulative effect of changes in accounting principles and extraordinary charges. Gross operating margin is presented on a 100% basis before any allocation of earnings to noncontrolling interests. Our calculation of gross operating margin may or may not be comparable to similarly titled measures used by other companies. Segment gross operating margin for NGL Pipelines &amp; Services and Crude Oil Pipelines &amp; Services reflect adjustments for shipper make-up rights that are included in management’s evaluation of segment results. However, these adjustments are excluded from non-GAAP total gross operating margin.</w:t>
      </w:r>
    </w:p>
    <w:p>
      <w:pPr>
        <w:pStyle w:val="TextBody"/>
        <w:bidi w:val="0"/>
        <w:spacing w:lineRule="auto" w:line="288" w:before="0" w:after="240"/>
        <w:jc w:val="both"/>
        <w:rPr/>
      </w:pPr>
      <w:r>
        <w:rPr>
          <w:rFonts w:ascii="Times New Roman;serif" w:hAnsi="Times New Roman;serif"/>
          <w:b w:val="false"/>
          <w:color w:val="000000"/>
          <w:sz w:val="20"/>
          <w:shd w:fill="FFFFFF" w:val="clear"/>
        </w:rPr>
        <w:t>The GAAP financial measure most directly comparable to total gross operating margin is operating income. For a discussion of operating income and its components, see the previous section titled “</w:t>
      </w:r>
      <w:r>
        <w:rPr>
          <w:rFonts w:ascii="Times New Roman;serif" w:hAnsi="Times New Roman;serif"/>
          <w:b w:val="false"/>
          <w:i/>
          <w:color w:val="000000"/>
          <w:sz w:val="20"/>
          <w:shd w:fill="FFFFFF" w:val="clear"/>
        </w:rPr>
        <w:t>Income Statement Highlights</w:t>
      </w:r>
      <w:r>
        <w:rPr>
          <w:color w:val="000000"/>
          <w:shd w:fill="FFFFFF" w:val="clear"/>
        </w:rPr>
        <w:t xml:space="preserve">” </w:t>
      </w:r>
      <w:r>
        <w:rPr>
          <w:rFonts w:ascii="Times New Roman;serif" w:hAnsi="Times New Roman;serif"/>
          <w:b w:val="false"/>
          <w:color w:val="000000"/>
          <w:sz w:val="20"/>
          <w:shd w:fill="FFFFFF" w:val="clear"/>
        </w:rPr>
        <w:t>within this Part I, Item 2. The following table presents a reconciliation of operating income to total gross operating margin for the periods indicated (dollars in millions):</w:t>
      </w:r>
    </w:p>
    <w:tbl>
      <w:tblPr>
        <w:tblW w:w="10205" w:type="dxa"/>
        <w:jc w:val="left"/>
        <w:tblInd w:w="0" w:type="dxa"/>
        <w:tblLayout w:type="fixed"/>
        <w:tblCellMar>
          <w:top w:w="28" w:type="dxa"/>
          <w:left w:w="28" w:type="dxa"/>
          <w:bottom w:w="28" w:type="dxa"/>
          <w:right w:w="28" w:type="dxa"/>
        </w:tblCellMar>
      </w:tblPr>
      <w:tblGrid>
        <w:gridCol w:w="2144"/>
        <w:gridCol w:w="1791"/>
        <w:gridCol w:w="179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5"/>
      </w:tblGrid>
      <w:tr>
        <w:trPr/>
        <w:tc>
          <w:tcPr>
            <w:tcW w:w="214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3,556 </w:t>
            </w:r>
          </w:p>
        </w:tc>
        <w:tc>
          <w:tcPr>
            <w:tcW w:w="15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i/>
                <w:color w:val="000000"/>
                <w:sz w:val="16"/>
              </w:rPr>
            </w:pPr>
            <w:r>
              <w:rPr>
                <w:rFonts w:ascii="Times New Roman;serif" w:hAnsi="Times New Roman;serif"/>
                <w:b w:val="false"/>
                <w:i/>
                <w:color w:val="000000"/>
                <w:sz w:val="16"/>
              </w:rPr>
              <w:t>Adjustments to reconcile operating income to total gross operating margin (addition or subtraction indicated by sign):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 expense in operating costs and expenses (1)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charges in operating costs and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attributable to asset sales and related matters in operating costs and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gross operating margin (non-GAAP)</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4,908 </w:t>
            </w:r>
          </w:p>
        </w:tc>
        <w:tc>
          <w:tcPr>
            <w:tcW w:w="15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(1)Excludes amortization of major maintenance costs for reaction-based plants and amortization of finance lease right-of-use assets, which are components of gross operating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of our business segments benefits from the supporting role of our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gross operating margin for us. The financial results of our marketing efforts fluctuate due to changes in volumes handled and overall market conditions, which are influenced by current and forward market prices for the products bought and sold.</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NGL Pipelines &amp; Services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segment gross operating margin and selected volumetric data for the NGL Pipelines &amp; Services segment for the periods indicated (dollars in millions, volumes as noted):</w:t>
      </w:r>
    </w:p>
    <w:tbl>
      <w:tblPr>
        <w:tblW w:w="8745" w:type="dxa"/>
        <w:jc w:val="left"/>
        <w:tblInd w:w="0" w:type="dxa"/>
        <w:tblLayout w:type="fixed"/>
        <w:tblCellMar>
          <w:top w:w="28" w:type="dxa"/>
          <w:left w:w="28" w:type="dxa"/>
          <w:bottom w:w="28" w:type="dxa"/>
          <w:right w:w="28" w:type="dxa"/>
        </w:tblCellMar>
      </w:tblPr>
      <w:tblGrid>
        <w:gridCol w:w="1549"/>
        <w:gridCol w:w="1358"/>
        <w:gridCol w:w="1368"/>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operating margin:</w:t>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tcMar>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processing and related NGL marketing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pipelines, storage and terminals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fractionation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1,545 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2,715 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Selected volumetric data: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pipeline transportation volumes (MBPD)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15"/>
              <w:jc w:val="right"/>
              <w:rPr>
                <w:rFonts w:ascii="Times New Roman;serif" w:hAnsi="Times New Roman;serif"/>
                <w:b w:val="false"/>
                <w:color w:val="000000"/>
                <w:sz w:val="16"/>
              </w:rPr>
            </w:pPr>
            <w:r>
              <w:rPr>
                <w:rFonts w:ascii="Times New Roman;serif" w:hAnsi="Times New Roman;serif"/>
                <w:b w:val="false"/>
                <w:color w:val="000000"/>
                <w:sz w:val="16"/>
              </w:rPr>
              <w:t>4,504</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marine terminal volumes (MBPD)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15"/>
              <w:jc w:val="right"/>
              <w:rPr>
                <w:rFonts w:ascii="Times New Roman;serif" w:hAnsi="Times New Roman;serif"/>
                <w:b w:val="false"/>
                <w:color w:val="000000"/>
                <w:sz w:val="16"/>
              </w:rPr>
            </w:pPr>
            <w:r>
              <w:rPr>
                <w:rFonts w:ascii="Times New Roman;serif" w:hAnsi="Times New Roman;serif"/>
                <w:b w:val="false"/>
                <w:color w:val="000000"/>
                <w:sz w:val="16"/>
              </w:rPr>
              <w:t>968</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fractionation volumes (MBPD)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15"/>
              <w:jc w:val="right"/>
              <w:rPr>
                <w:rFonts w:ascii="Times New Roman;serif" w:hAnsi="Times New Roman;serif"/>
                <w:b w:val="false"/>
                <w:color w:val="000000"/>
                <w:sz w:val="16"/>
              </w:rPr>
            </w:pPr>
            <w:r>
              <w:rPr>
                <w:rFonts w:ascii="Times New Roman;serif" w:hAnsi="Times New Roman;serif"/>
                <w:b w:val="false"/>
                <w:color w:val="000000"/>
                <w:sz w:val="16"/>
              </w:rPr>
              <w:t>1,657</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NGL-equivalent production volumes (MBPD)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15"/>
              <w:jc w:val="right"/>
              <w:rPr>
                <w:rFonts w:ascii="Times New Roman;serif" w:hAnsi="Times New Roman;serif"/>
                <w:b w:val="false"/>
                <w:color w:val="000000"/>
                <w:sz w:val="16"/>
              </w:rPr>
            </w:pPr>
            <w:r>
              <w:rPr>
                <w:rFonts w:ascii="Times New Roman;serif" w:hAnsi="Times New Roman;serif"/>
                <w:b w:val="false"/>
                <w:color w:val="000000"/>
                <w:sz w:val="16"/>
              </w:rPr>
              <w:t>220</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Fee-based natural gas processing volumes (MMcf/d) (2,3)</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7,223</w:t>
            </w:r>
          </w:p>
        </w:tc>
      </w:tr>
      <w:tr>
        <w:trPr/>
        <w:tc>
          <w:tcPr>
            <w:tcW w:w="42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(1)Primarily represents the NGL and condensate volumes we earn and take title to in connection with our processing activities. The total equity NGL-equivalent production volumes also include residue natural gas volumes from our natural gas processing business.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(2)Volumes reported correspond to the revenue streams earned by our natural gas processing plants.</w:t>
      </w:r>
    </w:p>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(3)Fee-based natural gas processing volumes are measured at either the wellhead or plant inlet in MMcf/d.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Natural gas processing and related NGL marketing activities</w:t>
      </w:r>
    </w:p>
    <w:p>
      <w:pPr>
        <w:pStyle w:val="TextBody"/>
        <w:bidi w:val="0"/>
        <w:spacing w:lineRule="auto" w:line="288" w:before="0" w:after="240"/>
        <w:jc w:val="both"/>
        <w:rPr/>
      </w:pP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Compared to </w:t>
      </w: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2025</w:t>
      </w:r>
      <w:r>
        <w:rPr>
          <w:rFonts w:ascii="Times New Roman;serif" w:hAnsi="Times New Roman;serif"/>
          <w:b w:val="false"/>
          <w:color w:val="000000"/>
          <w:sz w:val="20"/>
          <w:shd w:fill="FFFFFF" w:val="clear"/>
        </w:rPr>
        <w:t xml:space="preserve">. Gross operating margin from natural gas processing and related NGL marketing activities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$171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from our NGL marketing activities increased $83 million quarter-to-quarter primarily due to higher average sales margins, which accounted for a $51 million increase, higher mark-to-market earnings, which accounted for a $19 million increase, and higher sales volumes, which accounted for an additional $13 million increase.</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Gross operating margin from our Midland Basin natural gas processing facilities increased $47 million quarter-to-quarter primarily due to higher average processing margins (including the impact of hedging activities), which accounted for a $27 million increase, a 10 MBPD increase in equity NGL-equivalent production volumes, which accounted for a $7 million increase, a 218 MMcf/d increase in fee-based natural gas processing volumes, which accounted for a $7 million increase, and higher average processing fees, which accounted for an additional $4 million increase. </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Gross operating margin from our Delaware Basin natural gas processing facilities increased a net $36 million quarter-to-quarter primarily due to an 8 MBPD increase in equity NGL-equivalent production volumes, which accounted for a $20 million increase, higher average processing margins (including the impact of hedging activities), which accounted for a $15 million increase, and a 288 MMcf/d increase in fee-based natural gas processing volumes, which accounted for an additional $12 million increase, partially offset by higher operating costs, which accounted for an $11 million decrease.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i/>
          <w:color w:val="000000"/>
          <w:sz w:val="20"/>
        </w:rPr>
        <w:t>Six Months Ended June 30, 2026 Compared to Six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Gross operating margin from natural gas processing and related NGL marketing activities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$213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from our NGL marketing activities increased $93 million period-to-period primarily due to higher average sales margins, which accounted for a $44 million increase, higher sales volumes, which accounted for a $35 million increase, and higher mark-to-market earnings, which accounted for an additional $15 million increase.</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Gross operating margin from our Midland Basin natural gas processing facilities increased $73 million period-to-period primarily due to higher average processing margins (including the impact of hedging activities), which accounted for a $42 million increase, a 10 MBPD increase in equity NGL-equivalent production volumes, which accounted for a $14 million increase, a 125 MMcf/d increase in fee-based natural gas processing volumes, which accounted for a $9 million increase, and higher average processing fees, which accounted for an additional $7 million increase. </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Gross operating margin from our Delaware Basin natural gas processing facilities increased a net $59 million period-to-period primarily due to higher average processing margins (including the impact of hedging activities), which accounted for a $51 million increase, and a 265 MMcf/d increase in fee-based natural gas processing volumes, which accounted for an additional $25 million increase, partially offset by higher operating costs, which accounted for a $17 million decrease.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NGL pipelines, storage and terminals</w:t>
      </w:r>
    </w:p>
    <w:p>
      <w:pPr>
        <w:pStyle w:val="TextBody"/>
        <w:bidi w:val="0"/>
        <w:spacing w:lineRule="auto" w:line="288" w:before="0" w:after="240"/>
        <w:jc w:val="both"/>
        <w:rPr/>
      </w:pP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Compared to </w:t>
      </w: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2025</w:t>
      </w:r>
      <w:r>
        <w:rPr>
          <w:rFonts w:ascii="Times New Roman;serif" w:hAnsi="Times New Roman;serif"/>
          <w:b w:val="false"/>
          <w:color w:val="000000"/>
          <w:sz w:val="20"/>
          <w:shd w:fill="FFFFFF" w:val="clear"/>
        </w:rPr>
        <w:t xml:space="preserve">. Gross operating margin from our NGL pipelines, storage and terminal assets during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$25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Gross operating margin at our Morgan’s Point, Neches River and </w:t>
      </w:r>
      <w:r>
        <w:rPr>
          <w:rFonts w:ascii="Times New Roman;serif" w:hAnsi="Times New Roman;serif"/>
          <w:b w:val="false"/>
          <w:color w:val="000000"/>
          <w:sz w:val="20"/>
        </w:rPr>
        <w:t xml:space="preserve">Enterprise Hydrocarbons </w:t>
      </w:r>
      <w:r>
        <w:rPr>
          <w:rFonts w:ascii="Times New Roman;serif" w:hAnsi="Times New Roman;serif"/>
          <w:b w:val="false"/>
          <w:color w:val="000000"/>
          <w:sz w:val="20"/>
          <w:shd w:fill="FFFFFF" w:val="clear"/>
        </w:rPr>
        <w:t xml:space="preserve">Terminals increased a combined net $27 million quarter-to-quarter primarily due to an increase in ethane export volumes, which accounted for a $32 million increase, and an increase in propane export volumes, which accounted for an additional $12 million increase, partially offset by higher operating costs, which accounted for a $13 million decrease, and lower average ethane loading fees, which accounted for an additional $7 million decrease. Ethane export volumes at these terminals increased a combined 143 MBPD </w:t>
      </w:r>
      <w:r>
        <w:rPr>
          <w:rFonts w:ascii="Times New Roman;serif" w:hAnsi="Times New Roman;serif"/>
          <w:b w:val="false"/>
          <w:color w:val="000000"/>
          <w:sz w:val="20"/>
        </w:rPr>
        <w:t>quarter-to-quarter primarily due to contributions from the first phase of our Neches River export facility, which was placed into service in July 2025.</w:t>
      </w:r>
      <w:r>
        <w:rPr>
          <w:color w:val="000000"/>
          <w:shd w:fill="FFFFFF" w:val="clear"/>
        </w:rPr>
        <w:t xml:space="preserve"> </w:t>
      </w:r>
      <w:r>
        <w:rPr>
          <w:rFonts w:ascii="Times New Roman;serif" w:hAnsi="Times New Roman;serif"/>
          <w:b w:val="false"/>
          <w:color w:val="000000"/>
          <w:sz w:val="20"/>
          <w:shd w:fill="FFFFFF" w:val="clear"/>
        </w:rPr>
        <w:t xml:space="preserve">Propane export volumes at these terminals increased 141 MBPD quarter-to-quarter due to contributions from the second phase of our Neches River export facility, which was placed into service in May 2026. </w:t>
      </w:r>
      <w:r>
        <w:rPr>
          <w:rFonts w:ascii="Times New Roman;serif" w:hAnsi="Times New Roman;serif"/>
          <w:b w:val="false"/>
          <w:color w:val="000000"/>
          <w:sz w:val="20"/>
        </w:rPr>
        <w:t xml:space="preserve">LPG export volumes at Enterprise Hydrocarbons Terminal (“EHT”) were flat </w:t>
      </w:r>
      <w:r>
        <w:rPr>
          <w:rFonts w:ascii="Times New Roman;serif" w:hAnsi="Times New Roman;serif"/>
          <w:b w:val="false"/>
          <w:color w:val="000000"/>
          <w:sz w:val="20"/>
          <w:shd w:fill="FFFFFF" w:val="clear"/>
        </w:rPr>
        <w:t>quarter-to-quarter</w:t>
      </w:r>
      <w:r>
        <w:rPr>
          <w:rFonts w:ascii="Times New Roman;serif" w:hAnsi="Times New Roman;serif"/>
          <w:b w:val="false"/>
          <w:color w:val="000000"/>
          <w:sz w:val="2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number of our pipelines, including the Mid-America Pipeline System, Seminole NGL Pipeline, Chaparral Pipeline, Shin Oak NGL Pipeline and Bahia NGL Pipeline, serve Permian Basin and/or Rocky Mountain producers. On a combined basis, gross operating margin from these pipelines increased a net $11 million quarter-to-quarter primarily due to higher average transportation fees, which accounted for a $10 million increase, an increase in transportation volumes, which accounted for a $7 million increase, and lower operating costs, which accounted for an additional $4 million increase, partially offset by lower other revenues, which accounted for a $10 million decrease.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Gross operating margin from our Mont Belvieu area storage complex increased $10 million quarter-to-quarter primarily due to higher storage revenues.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Gross operating margin from our South Texas NGL Pipeline System decreased $9 million quarter-to-quarter primarily due to lower capacity reservation revenues, which accounted for a $4 million decrease, and higher operating costs, which accounted for an additional $6 million decrease. Transportation volumes on this system decreased 7 MBPD quarter-to-quarter.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i/>
          <w:color w:val="000000"/>
          <w:sz w:val="20"/>
        </w:rPr>
        <w:t>Six Months Ended June 30, 2026 Compared to Six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Gross operating margin from our NGL pipelines, storage and terminal assets during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$26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number of our pipelines, including the Mid-America Pipeline System, Seminole NGL Pipeline, Chaparral Pipeline, Shin Oak NGL Pipeline and Bahia NGL Pipeline, serve Permian Basin and/or Rocky Mountain producers. On a combined basis, gross operating margin from these pipelines increased $33 million period-to-period primarily due to an increase in transportation volumes, which accounted for a $23 million increase, and higher average transportation fees, which accounted for an additional $11 million increase.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Gross operating margin from our Mont Belvieu area storage complex increased $22 million period-to-period primarily due to higher storage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Gross operating margin from our South Texas NGL Pipeline System decreased $13 million period-to-period primarily due to lower capacity reservation revenues, which accounted for a $7 million decrease, and higher operating costs, which accounted for an additional $9 million decrease. Transportation volumes on this system decreased 5 MBPD period-to-period.</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Gross operating margin at our Morgan’s Point, Neches River and </w:t>
      </w:r>
      <w:r>
        <w:rPr>
          <w:rFonts w:ascii="Times New Roman;serif" w:hAnsi="Times New Roman;serif"/>
          <w:b w:val="false"/>
          <w:color w:val="000000"/>
          <w:sz w:val="20"/>
        </w:rPr>
        <w:t>Enterprise Hydrocarbons</w:t>
      </w:r>
      <w:r>
        <w:rPr>
          <w:color w:val="000000"/>
          <w:shd w:fill="FFFFFF" w:val="clear"/>
        </w:rPr>
        <w:t xml:space="preserve"> </w:t>
      </w:r>
      <w:r>
        <w:rPr>
          <w:rFonts w:ascii="Times New Roman;serif" w:hAnsi="Times New Roman;serif"/>
          <w:b w:val="false"/>
          <w:color w:val="000000"/>
          <w:sz w:val="20"/>
          <w:shd w:fill="FFFFFF" w:val="clear"/>
        </w:rPr>
        <w:t>Terminals decreased a combined net $8 million period-to-period primarily due to lower average LPG loading fees, which accounted for a $42 million decrease, higher operating costs, which accounted for a $21 million decrease, and lower average ethane loading fees, which accounted for an additional $16 million decrease, partially offset by an increase in ethane export volumes, which accounted for a $54 million increase, and an increase in propane export volumes, which accounted for an additional $12 million increase. Ethane export volumes at these terminals increased a combined 123 MBPD period-to-period</w:t>
      </w:r>
      <w:r>
        <w:rPr>
          <w:color w:val="000000"/>
        </w:rPr>
        <w:t xml:space="preserve"> </w:t>
      </w:r>
      <w:r>
        <w:rPr>
          <w:rFonts w:ascii="Times New Roman;serif" w:hAnsi="Times New Roman;serif"/>
          <w:b w:val="false"/>
          <w:color w:val="000000"/>
          <w:sz w:val="20"/>
        </w:rPr>
        <w:t>primarily due to</w:t>
      </w:r>
      <w:r>
        <w:rPr>
          <w:color w:val="000000"/>
          <w:shd w:fill="FFFFFF" w:val="clear"/>
        </w:rPr>
        <w:t xml:space="preserve"> </w:t>
      </w:r>
      <w:r>
        <w:rPr>
          <w:rFonts w:ascii="Times New Roman;serif" w:hAnsi="Times New Roman;serif"/>
          <w:b w:val="false"/>
          <w:color w:val="000000"/>
          <w:sz w:val="20"/>
        </w:rPr>
        <w:t>contributions from the first phase of our Neches River export facility, which was placed into service in July 2025.</w:t>
      </w:r>
      <w:r>
        <w:rPr>
          <w:color w:val="000000"/>
          <w:shd w:fill="FFFFFF" w:val="clear"/>
        </w:rPr>
        <w:t xml:space="preserve"> </w:t>
      </w:r>
      <w:r>
        <w:rPr>
          <w:rFonts w:ascii="Times New Roman;serif" w:hAnsi="Times New Roman;serif"/>
          <w:b w:val="false"/>
          <w:color w:val="000000"/>
          <w:sz w:val="20"/>
          <w:shd w:fill="FFFFFF" w:val="clear"/>
        </w:rPr>
        <w:t xml:space="preserve">Propane export volumes at these terminals increased 71 MBPD period-to-period due to contributions from the second phase of our Neches River export facility, which was placed into service in May 2026. </w:t>
      </w:r>
      <w:r>
        <w:rPr>
          <w:rFonts w:ascii="Times New Roman;serif" w:hAnsi="Times New Roman;serif"/>
          <w:b w:val="false"/>
          <w:color w:val="000000"/>
          <w:sz w:val="20"/>
        </w:rPr>
        <w:t xml:space="preserve">LPG export volumes at EHT were flat </w:t>
      </w:r>
      <w:r>
        <w:rPr>
          <w:rFonts w:ascii="Times New Roman;serif" w:hAnsi="Times New Roman;serif"/>
          <w:b w:val="false"/>
          <w:color w:val="000000"/>
          <w:sz w:val="20"/>
          <w:shd w:fill="FFFFFF" w:val="clear"/>
        </w:rPr>
        <w:t>period-to-period</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NGL fractionation</w:t>
      </w:r>
    </w:p>
    <w:p>
      <w:pPr>
        <w:pStyle w:val="TextBody"/>
        <w:bidi w:val="0"/>
        <w:spacing w:lineRule="auto" w:line="288" w:before="0" w:after="240"/>
        <w:jc w:val="both"/>
        <w:rPr/>
      </w:pP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Compared to </w:t>
      </w: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2025</w:t>
      </w:r>
      <w:r>
        <w:rPr>
          <w:rFonts w:ascii="Times New Roman;serif" w:hAnsi="Times New Roman;serif"/>
          <w:b w:val="false"/>
          <w:color w:val="000000"/>
          <w:sz w:val="20"/>
          <w:shd w:fill="FFFFFF" w:val="clear"/>
        </w:rPr>
        <w:t xml:space="preserve">. Gross operating margin from NGL fractionation during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$52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p>
    <w:p>
      <w:pPr>
        <w:pStyle w:val="TextBody"/>
        <w:bidi w:val="0"/>
        <w:spacing w:lineRule="auto" w:line="288" w:before="0" w:after="240"/>
        <w:jc w:val="both"/>
        <w:rPr/>
      </w:pPr>
      <w:r>
        <w:rPr>
          <w:rFonts w:ascii="Times New Roman;serif" w:hAnsi="Times New Roman;serif"/>
          <w:b w:val="false"/>
          <w:color w:val="000000"/>
          <w:sz w:val="20"/>
          <w:shd w:fill="FFFFFF" w:val="clear"/>
        </w:rPr>
        <w:t>Gross operating margin from our Mont Belvieu area NGL fractionation complex increased a net $54 million quarter-to-quarter primarily due to higher fractionation volumes, which accounted for a $42 million increase, and higher ancillary service revenues, which accounted for an additional $23 million increase, partially offset by higher operating costs, which accounted for a $13 million decrease. NGL fractionation volumes at our Mont Belvieu area NGL fractionation complex increased 207 MBPD quarter-to-quarter primarily due to contributions fro</w:t>
      </w:r>
      <w:r>
        <w:rPr>
          <w:rFonts w:ascii="Times New Roman;serif" w:hAnsi="Times New Roman;serif"/>
          <w:b w:val="false"/>
          <w:color w:val="000000"/>
          <w:sz w:val="20"/>
        </w:rPr>
        <w:t>m Frac 14, which was placed into service during the fourth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i/>
          <w:color w:val="000000"/>
          <w:sz w:val="20"/>
        </w:rPr>
        <w:t>Six Months Ended June 30, 2026 Compared to Six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Gross operating margin from NGL fractionation during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$94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p>
    <w:p>
      <w:pPr>
        <w:pStyle w:val="TextBody"/>
        <w:bidi w:val="0"/>
        <w:spacing w:lineRule="auto" w:line="288" w:before="0" w:after="240"/>
        <w:jc w:val="both"/>
        <w:rPr/>
      </w:pPr>
      <w:r>
        <w:rPr>
          <w:rFonts w:ascii="Times New Roman;serif" w:hAnsi="Times New Roman;serif"/>
          <w:b w:val="false"/>
          <w:color w:val="000000"/>
          <w:sz w:val="20"/>
          <w:shd w:fill="FFFFFF" w:val="clear"/>
        </w:rPr>
        <w:t>Gross operating margin from our Mont Belvieu area NGL fractionation complex increased a net $87 million period-to-period primarily due to higher fractionation volumes, which accounted for an $87 million increase, higher average fractionation fees (including the impact of hedging activities), which accounted for a $27 million increase, and higher ancillary service revenues, which accounted for an additional $13 million increase, partially offset by higher operating costs, which accounted for a $42 million decrease. NGL fractionation volumes at our Mont Belvieu area NGL fractionation complex increased 214 MBPD period-to-period primarily due to contributions fro</w:t>
      </w:r>
      <w:r>
        <w:rPr>
          <w:rFonts w:ascii="Times New Roman;serif" w:hAnsi="Times New Roman;serif"/>
          <w:b w:val="false"/>
          <w:color w:val="000000"/>
          <w:sz w:val="20"/>
        </w:rPr>
        <w:t>m Frac 14, which was placed into service during the fourth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Crude Oil Pipelines &amp; Services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segment gross operating margin and selected volumetric data for the Crude Oil Pipelines &amp; Services segment for the periods indicated (dollars in millions, volumes as noted):</w:t>
      </w:r>
    </w:p>
    <w:tbl>
      <w:tblPr>
        <w:tblW w:w="7559" w:type="dxa"/>
        <w:jc w:val="left"/>
        <w:tblInd w:w="0" w:type="dxa"/>
        <w:tblLayout w:type="fixed"/>
        <w:tblCellMar>
          <w:top w:w="28" w:type="dxa"/>
          <w:left w:w="28" w:type="dxa"/>
          <w:bottom w:w="28" w:type="dxa"/>
          <w:right w:w="28" w:type="dxa"/>
        </w:tblCellMar>
      </w:tblPr>
      <w:tblGrid>
        <w:gridCol w:w="1316"/>
        <w:gridCol w:w="1152"/>
        <w:gridCol w:w="1161"/>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operating margin</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Selected volumetric data:</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pipeline transportation volumes (MBPD)</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15"/>
              <w:jc w:val="right"/>
              <w:rPr>
                <w:rFonts w:ascii="Times New Roman;serif" w:hAnsi="Times New Roman;serif"/>
                <w:b w:val="false"/>
                <w:color w:val="000000"/>
                <w:sz w:val="16"/>
              </w:rPr>
            </w:pPr>
            <w:r>
              <w:rPr>
                <w:rFonts w:ascii="Times New Roman;serif" w:hAnsi="Times New Roman;serif"/>
                <w:b w:val="false"/>
                <w:color w:val="000000"/>
                <w:sz w:val="16"/>
              </w:rPr>
              <w:t>2,554</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marine terminal volumes (MBPD)</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w:t>
            </w:r>
          </w:p>
        </w:tc>
      </w:tr>
    </w:tbl>
    <w:p>
      <w:pPr>
        <w:pStyle w:val="TextBody"/>
        <w:bidi w:val="0"/>
        <w:spacing w:lineRule="auto" w:line="288" w:before="0" w:after="240"/>
        <w:jc w:val="both"/>
        <w:rPr/>
      </w:pP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Compared to </w:t>
      </w: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2025</w:t>
      </w:r>
      <w:r>
        <w:rPr>
          <w:rFonts w:ascii="Times New Roman;serif" w:hAnsi="Times New Roman;serif"/>
          <w:b w:val="false"/>
          <w:color w:val="000000"/>
          <w:sz w:val="20"/>
          <w:shd w:fill="FFFFFF" w:val="clear"/>
        </w:rPr>
        <w:t xml:space="preserve">. Gross operating margin from our Crude Oil Pipelines &amp; Services segment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$82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from our Texas crude oil pipelines, related terminals and marketing activities (excluding the Seaway Pipeline) increased a combined net $69 million quarter-to-quarter primarily due to higher average sales margins from marketing activities, which accounted for a $52 million increase, higher sales volumes from marketing activities, which accounted for a $37 million increase, and higher mark-to-market earnings, which accounted for an additional $11 million increase, partially offset by lower transportation and related revenues, which accounted for a $19 million decrease and largely attributable to lower average transportation fees from our equity investment in the Eagle Ford Crude Oil Pipeline, and higher operating costs, which accounted for an additional $12 million decrease. The increases in marketing sales margins and volumes benefited from higher demand across our integrated crude oil value chain, reflected in a 265 MBPD (net to our interest) combined increase in crude oil transportation volumes on these pipelines and a 227 MBPD increase in crude oil marine terminal volumes at EHT, as well as corresponding market opportunities captured by our marketing activities.</w:t>
      </w:r>
    </w:p>
    <w:p>
      <w:pPr>
        <w:pStyle w:val="TextBody"/>
        <w:bidi w:val="0"/>
        <w:spacing w:lineRule="auto" w:line="288" w:before="0" w:after="240"/>
        <w:jc w:val="both"/>
        <w:rPr/>
      </w:pPr>
      <w:r>
        <w:rPr>
          <w:rFonts w:ascii="Times New Roman;serif" w:hAnsi="Times New Roman;serif"/>
          <w:b w:val="false"/>
          <w:color w:val="000000"/>
          <w:sz w:val="20"/>
        </w:rPr>
        <w:t xml:space="preserve">Gross operating margin from our equity investment in the Seaway Pipeline increased $23 million </w:t>
      </w:r>
      <w:r>
        <w:rPr>
          <w:rFonts w:ascii="Times New Roman;serif" w:hAnsi="Times New Roman;serif"/>
          <w:b w:val="false"/>
          <w:color w:val="000000"/>
          <w:sz w:val="20"/>
          <w:shd w:fill="FFFFFF" w:val="clear"/>
        </w:rPr>
        <w:t>quarter-to-quarter</w:t>
      </w:r>
      <w:r>
        <w:rPr>
          <w:color w:val="000000"/>
        </w:rPr>
        <w:t xml:space="preserve"> </w:t>
      </w:r>
      <w:r>
        <w:rPr>
          <w:rFonts w:ascii="Times New Roman;serif" w:hAnsi="Times New Roman;serif"/>
          <w:b w:val="false"/>
          <w:color w:val="000000"/>
          <w:sz w:val="20"/>
        </w:rPr>
        <w:t xml:space="preserve">primarily due to a 138 MBPD (net to our interest) increase in transportation volumes, which accounted for an $11 million increase, and higher loading and other fee revenues, which accounted for an additional $13 million increase. On a combined basis, crude oil marine terminal volumes at the Freeport System and Texas City System increased 86 MBPD (net to our interest) </w:t>
      </w:r>
      <w:r>
        <w:rPr>
          <w:rFonts w:ascii="Times New Roman;serif" w:hAnsi="Times New Roman;serif"/>
          <w:b w:val="false"/>
          <w:color w:val="000000"/>
          <w:sz w:val="20"/>
          <w:shd w:fill="FFFFFF" w:val="clear"/>
        </w:rPr>
        <w:t>quarter-to-quarter.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i/>
          <w:color w:val="000000"/>
          <w:sz w:val="20"/>
        </w:rPr>
        <w:t>Six Months Ended June 30, 2026 Compared to Six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Gross operating margin from our Crude Oil Pipelines &amp; Services segment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$37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w:t>
      </w:r>
    </w:p>
    <w:p>
      <w:pPr>
        <w:pStyle w:val="TextBody"/>
        <w:bidi w:val="0"/>
        <w:spacing w:lineRule="auto" w:line="288" w:before="0" w:after="240"/>
        <w:jc w:val="both"/>
        <w:rPr/>
      </w:pPr>
      <w:r>
        <w:rPr>
          <w:rFonts w:ascii="Times New Roman;serif" w:hAnsi="Times New Roman;serif"/>
          <w:b w:val="false"/>
          <w:color w:val="000000"/>
          <w:sz w:val="20"/>
        </w:rPr>
        <w:t xml:space="preserve">Gross operating margin from our equity investment in the Seaway Pipeline increased $24 million </w:t>
      </w:r>
      <w:r>
        <w:rPr>
          <w:rFonts w:ascii="Times New Roman;serif" w:hAnsi="Times New Roman;serif"/>
          <w:b w:val="false"/>
          <w:color w:val="000000"/>
          <w:sz w:val="20"/>
          <w:shd w:fill="FFFFFF" w:val="clear"/>
        </w:rPr>
        <w:t>period-to-period</w:t>
      </w:r>
      <w:r>
        <w:rPr>
          <w:color w:val="000000"/>
        </w:rPr>
        <w:t xml:space="preserve"> </w:t>
      </w:r>
      <w:r>
        <w:rPr>
          <w:rFonts w:ascii="Times New Roman;serif" w:hAnsi="Times New Roman;serif"/>
          <w:b w:val="false"/>
          <w:color w:val="000000"/>
          <w:sz w:val="20"/>
        </w:rPr>
        <w:t xml:space="preserve">primarily due to a 110 MBPD (net to our interest) increase in transportation volumes, which accounted for a $14 million increase, and higher loading and other fee revenues, which accounted for an additional $12 million increase. On a combined basis, crude oil marine terminal volumes at the Freeport System and Texas City System increased 57 MBPD (net to our interest) </w:t>
      </w:r>
      <w:r>
        <w:rPr>
          <w:rFonts w:ascii="Times New Roman;serif" w:hAnsi="Times New Roman;serif"/>
          <w:b w:val="false"/>
          <w:color w:val="000000"/>
          <w:sz w:val="20"/>
          <w:shd w:fill="FFFFFF" w:val="clear"/>
        </w:rPr>
        <w:t>period-to-period.</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from our Texas crude oil pipelines, related terminals and marketing activities (excluding the Seaway Pipeline) increased a combined net $23 million period-to-period primarily due to higher sales volumes from marketing activities, which accounted for a $61 million increase, and higher average sales margins from marketing activities, which accounted for an additional $17 million increase, partially offset by lower transportation and related revenues, which accounted for a $43 million decrease and largely attributable to lower average transportation fees from our equity investment in the Eagle Ford Crude Oil Pipeline, and higher operating costs, which accounted for an additional $12 million decrease. Crude oil transportation volumes on these pipelines increased a combined 173 MBPD (net to our interest) period-to-period.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Natural Gas Pipelines &amp; Services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segment gross operating margin and selected volumetric data for the Natural Gas Pipelines &amp; Services segment for the periods indicated (dollars in millions, volumes as noted):</w:t>
      </w:r>
    </w:p>
    <w:tbl>
      <w:tblPr>
        <w:tblW w:w="7904" w:type="dxa"/>
        <w:jc w:val="left"/>
        <w:tblInd w:w="0" w:type="dxa"/>
        <w:tblLayout w:type="fixed"/>
        <w:tblCellMar>
          <w:top w:w="28" w:type="dxa"/>
          <w:left w:w="28" w:type="dxa"/>
          <w:bottom w:w="28" w:type="dxa"/>
          <w:right w:w="28" w:type="dxa"/>
        </w:tblCellMar>
      </w:tblPr>
      <w:tblGrid>
        <w:gridCol w:w="1392"/>
        <w:gridCol w:w="1219"/>
        <w:gridCol w:w="1228"/>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421"/>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operating margin</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Selected volumetric data:</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pipeline transportation volumes (BBtus/d)</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20,358</w:t>
            </w:r>
          </w:p>
        </w:tc>
      </w:tr>
    </w:tbl>
    <w:p>
      <w:pPr>
        <w:pStyle w:val="TextBody"/>
        <w:bidi w:val="0"/>
        <w:spacing w:lineRule="auto" w:line="288" w:before="0" w:after="240"/>
        <w:jc w:val="both"/>
        <w:rPr/>
      </w:pP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Compared to </w:t>
      </w: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2025</w:t>
      </w:r>
      <w:r>
        <w:rPr>
          <w:rFonts w:ascii="Times New Roman;serif" w:hAnsi="Times New Roman;serif"/>
          <w:b w:val="false"/>
          <w:color w:val="000000"/>
          <w:sz w:val="20"/>
          <w:shd w:fill="FFFFFF" w:val="clear"/>
        </w:rPr>
        <w:t xml:space="preserve">. Gross operating margin from our Natural Gas Pipelines &amp; Services segment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$139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from our natural gas marketing activities increased $91 million quarter-to-quarter primarily due to higher average sales margins, which accounted for a $60 million increase, and higher mark-to-market earnings, which accounted for an additional $31 million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Gross operating margin from our Texas Intrastate System increased $32 million quarter-to-quarter primarily due to higher average transportation fees, which accounted for a $17 million increase, higher capacity reservation fees and other revenues, which accounted for a $10 million increase, and a 158 BBtus/d increase in transportation volumes, which accounted for an additional $3 million increase.</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from our Delaware Basin Gathering System increased a net $7 million quarter-to-quarter primarily due to a 349 BBtus/d increase in natural gas gathering volumes, which accounted for a $6 million increase, higher average gathering fees, which accounted for a $5 million increase, and higher treating and other revenues, which accounted for an additional $3 million increase, partially offset by higher operating costs, which accounted for a $7 million decrease.</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from our Midland Basin Gathering System increased a net $6 million quarter-to-quarter primarily due to a 300 BBtus/d increase in natural gas gathering volumes, which accounted for a $9 million increase, and higher other revenues, which accounted for an additional $5 million increase, partially offset by higher operating costs, which accounted for a $8 million decrease.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i/>
          <w:color w:val="000000"/>
          <w:sz w:val="20"/>
        </w:rPr>
        <w:t>Six Months Ended June 30, 2026 Compared to Six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Gross operating margin from our Natural Gas Pipelines &amp; Services segment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$278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Gross operating margin from our natural gas marketing activities increased $201 million period-to-period primarily due to higher average sales margins, which accounted for a $193 million increase, and higher mark-to-market earnings, which accounted for an additional $8 million increase. </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Gross operating margin from our Texas Intrastate System increased $46 million period-to-period primarily due to </w:t>
      </w:r>
      <w:r>
        <w:rPr>
          <w:rFonts w:ascii="Times New Roman;serif" w:hAnsi="Times New Roman;serif"/>
          <w:b w:val="false"/>
          <w:color w:val="000000"/>
          <w:sz w:val="20"/>
        </w:rPr>
        <w:t>higher average transportation fees, which accounted for a $19 million increase, higher capacity reservation fees and other revenues, which accounted for a $19 million increase, and a 273 BBtus/d increase in transportation volumes, which accounted for an additional $8 million increase.</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from our Midland Basin Gathering System increased a net $12 million period-to-period primarily due to a 229 BBtus/d increase in natural gas gathering volumes, which accounted for a $15 million increase, and higher other revenues, which accounted for an additional $11 million increase, partially offset by higher operating costs, which accounted for a $14 million decrease.</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from our Delaware Basin Gathering System, increased a net $8 million period-to-period primarily due to a 372 BBtus/d increase in natural gas gathering volumes, which accounted for a $12 million increase, and higher treating and other revenues, which accounted for an additional $7 million increase, partially offset by higher operating costs, which accounted for a $13 million decrease.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Petrochemical &amp; Refined Products Services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segment gross operating margin and selected volumetric data for the Petrochemical &amp; Refined Products Services segment for the periods indicated (dollars in millions, volumes as noted):</w:t>
      </w:r>
    </w:p>
    <w:tbl>
      <w:tblPr>
        <w:tblW w:w="10170" w:type="dxa"/>
        <w:jc w:val="left"/>
        <w:tblInd w:w="0" w:type="dxa"/>
        <w:tblLayout w:type="fixed"/>
        <w:tblCellMar>
          <w:top w:w="28" w:type="dxa"/>
          <w:left w:w="28" w:type="dxa"/>
          <w:bottom w:w="28" w:type="dxa"/>
          <w:right w:w="28" w:type="dxa"/>
        </w:tblCellMar>
      </w:tblPr>
      <w:tblGrid>
        <w:gridCol w:w="2262"/>
        <w:gridCol w:w="1982"/>
        <w:gridCol w:w="1996"/>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2262"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operating margin:</w:t>
            </w:r>
          </w:p>
        </w:tc>
        <w:tc>
          <w:tcPr>
            <w:tcW w:w="72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Propylene production and related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Butane isomerization and related operations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Octane enhancement and related plant operations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Refined products pipelines and related activities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Ethylene exports and related activities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Marine transportation and other services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Selected volumetric data:</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Propylene production volumes (MBPD)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15"/>
              <w:jc w:val="right"/>
              <w:rPr>
                <w:rFonts w:ascii="Times New Roman;serif" w:hAnsi="Times New Roman;serif"/>
                <w:b w:val="false"/>
                <w:color w:val="000000"/>
                <w:sz w:val="16"/>
              </w:rPr>
            </w:pPr>
            <w:r>
              <w:rPr>
                <w:rFonts w:ascii="Times New Roman;serif" w:hAnsi="Times New Roman;serif"/>
                <w:b w:val="false"/>
                <w:color w:val="000000"/>
                <w:sz w:val="16"/>
              </w:rPr>
              <w:t>115</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Butane isomerization volumes (MBPD)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15"/>
              <w:jc w:val="right"/>
              <w:rPr>
                <w:rFonts w:ascii="Times New Roman;serif" w:hAnsi="Times New Roman;serif"/>
                <w:b w:val="false"/>
                <w:color w:val="000000"/>
                <w:sz w:val="16"/>
              </w:rPr>
            </w:pPr>
            <w:r>
              <w:rPr>
                <w:rFonts w:ascii="Times New Roman;serif" w:hAnsi="Times New Roman;serif"/>
                <w:b w:val="false"/>
                <w:color w:val="000000"/>
                <w:sz w:val="16"/>
              </w:rPr>
              <w:t>118</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Standalone deisobutanizer (“DIB”) processing volumes (MBPD)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16"/>
              </w:rPr>
            </w:pPr>
            <w:r>
              <w:rPr>
                <w:rFonts w:ascii="Times New Roman;serif" w:hAnsi="Times New Roman;serif"/>
                <w:b w:val="false"/>
                <w:color w:val="000000"/>
                <w:sz w:val="16"/>
              </w:rPr>
              <w:t>187</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Octane enhancement and related plant sales volumes (MBPD) (1)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15"/>
              <w:jc w:val="right"/>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Pipeline transportation volumes, primarily refined products and petrochemicals (MBPD)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15"/>
              <w:jc w:val="right"/>
              <w:rPr>
                <w:rFonts w:ascii="Times New Roman;serif" w:hAnsi="Times New Roman;serif"/>
                <w:b w:val="false"/>
                <w:color w:val="000000"/>
                <w:sz w:val="16"/>
              </w:rPr>
            </w:pPr>
            <w:r>
              <w:rPr>
                <w:rFonts w:ascii="Times New Roman;serif" w:hAnsi="Times New Roman;serif"/>
                <w:b w:val="false"/>
                <w:color w:val="000000"/>
                <w:sz w:val="16"/>
              </w:rPr>
              <w:t>977</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Marine terminal volumes, primarily refined products and petrochemicals (MBPD)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r>
      <w:tr>
        <w:trPr/>
        <w:tc>
          <w:tcPr>
            <w:tcW w:w="624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(1)Reflects aggregate sales volumes for our octane enhancement and iBDH facilities located at our Mont Belvieu area complex and our HPIB facility located adjacent to the Houston Ship Channel.</w:t>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Propylene production and related activities</w:t>
      </w:r>
    </w:p>
    <w:p>
      <w:pPr>
        <w:pStyle w:val="TextBody"/>
        <w:bidi w:val="0"/>
        <w:spacing w:lineRule="auto" w:line="288" w:before="0" w:after="240"/>
        <w:jc w:val="both"/>
        <w:rPr/>
      </w:pP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Compared to </w:t>
      </w: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2025</w:t>
      </w:r>
      <w:r>
        <w:rPr>
          <w:rFonts w:ascii="Times New Roman;serif" w:hAnsi="Times New Roman;serif"/>
          <w:b w:val="false"/>
          <w:color w:val="000000"/>
          <w:sz w:val="20"/>
          <w:shd w:fill="FFFFFF" w:val="clear"/>
        </w:rPr>
        <w:t xml:space="preserve">. Gross operating margin from propylene production and related activities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 xml:space="preserve">2026 increased $19 million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0" w:after="240"/>
        <w:jc w:val="both"/>
        <w:rPr/>
      </w:pPr>
      <w:r>
        <w:rPr>
          <w:rFonts w:ascii="Times New Roman;serif" w:hAnsi="Times New Roman;serif"/>
          <w:b w:val="false"/>
          <w:color w:val="000000"/>
          <w:sz w:val="20"/>
          <w:shd w:fill="FFFFFF" w:val="clear"/>
        </w:rPr>
        <w:t>On a combined basis, gross operating margin from our Mont Belvieu area propylene production facilities increased a net $20 million quarter-to-quarter primarily due to</w:t>
      </w:r>
      <w:r>
        <w:rPr>
          <w:color w:val="000000"/>
        </w:rPr>
        <w:t xml:space="preserve"> </w:t>
      </w:r>
      <w:r>
        <w:rPr>
          <w:rFonts w:ascii="Times New Roman;serif" w:hAnsi="Times New Roman;serif"/>
          <w:b w:val="false"/>
          <w:color w:val="000000"/>
          <w:sz w:val="20"/>
          <w:shd w:fill="FFFFFF" w:val="clear"/>
        </w:rPr>
        <w:t>higher propylene sales volumes</w:t>
      </w:r>
      <w:r>
        <w:rPr>
          <w:rFonts w:ascii="Times New Roman;serif" w:hAnsi="Times New Roman;serif"/>
          <w:b w:val="false"/>
          <w:color w:val="000000"/>
          <w:sz w:val="20"/>
        </w:rPr>
        <w:t>, which accounted for a $21 million increase, and higher average propylene sales margins</w:t>
      </w:r>
      <w:r>
        <w:rPr>
          <w:rFonts w:ascii="Times New Roman;serif" w:hAnsi="Times New Roman;serif"/>
          <w:b w:val="false"/>
          <w:color w:val="000000"/>
          <w:sz w:val="20"/>
          <w:shd w:fill="FFFFFF" w:val="clear"/>
        </w:rPr>
        <w:t>, which accounted for an additional $15 million increase, partially offset by higher operating costs, which accounted for a $20 million decrease</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Propylene and associated by-product production volumes at these facilities increased a combined 12 MBPD quarter-to-quarter</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i/>
          <w:color w:val="000000"/>
          <w:sz w:val="20"/>
        </w:rPr>
        <w:t>Six Months Ended June 30, 2026 Compared to Six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Gross operating margin from propylene production and related activities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$86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On a combined basis, gross operating margin from our Mont Belvieu area propylene production facilities increased a net $82 million period-to-period primarily due to </w:t>
      </w:r>
      <w:r>
        <w:rPr>
          <w:rFonts w:ascii="Times New Roman;serif" w:hAnsi="Times New Roman;serif"/>
          <w:b w:val="false"/>
          <w:color w:val="000000"/>
          <w:sz w:val="20"/>
        </w:rPr>
        <w:t>higher average propylene sales margins</w:t>
      </w:r>
      <w:r>
        <w:rPr>
          <w:rFonts w:ascii="Times New Roman;serif" w:hAnsi="Times New Roman;serif"/>
          <w:b w:val="false"/>
          <w:color w:val="000000"/>
          <w:sz w:val="20"/>
          <w:shd w:fill="FFFFFF" w:val="clear"/>
        </w:rPr>
        <w:t>, which accounted for a $67 million increase, and higher propylene sales volumes</w:t>
      </w:r>
      <w:r>
        <w:rPr>
          <w:rFonts w:ascii="Times New Roman;serif" w:hAnsi="Times New Roman;serif"/>
          <w:b w:val="false"/>
          <w:color w:val="000000"/>
          <w:sz w:val="20"/>
        </w:rPr>
        <w:t xml:space="preserve">, which accounted for an additional $51 million increase, </w:t>
      </w:r>
      <w:r>
        <w:rPr>
          <w:rFonts w:ascii="Times New Roman;serif" w:hAnsi="Times New Roman;serif"/>
          <w:b w:val="false"/>
          <w:color w:val="000000"/>
          <w:sz w:val="20"/>
          <w:shd w:fill="FFFFFF" w:val="clear"/>
        </w:rPr>
        <w:t>partially offset by higher operating costs, which accounted for a $23 million decrease, and lower other revenues, which accounted for an additional $13 million decrease. Propylene and associated by-product production volumes at these facilities increased a combined 11 MBPD period-to-period</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Butane isomerization and related operations</w:t>
      </w:r>
    </w:p>
    <w:p>
      <w:pPr>
        <w:pStyle w:val="TextBody"/>
        <w:bidi w:val="0"/>
        <w:spacing w:lineRule="auto" w:line="288" w:before="0" w:after="240"/>
        <w:jc w:val="both"/>
        <w:rPr/>
      </w:pP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Compared to </w:t>
      </w: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2025</w:t>
      </w:r>
      <w:r>
        <w:rPr>
          <w:rFonts w:ascii="Times New Roman;serif" w:hAnsi="Times New Roman;serif"/>
          <w:b w:val="false"/>
          <w:color w:val="000000"/>
          <w:sz w:val="20"/>
          <w:shd w:fill="FFFFFF" w:val="clear"/>
        </w:rPr>
        <w:t xml:space="preserve">. Gross operating margin from butane isomerization and related operations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increased a net $2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primarily due to higher average sales margins, which accounted for an $8 million increase, partially offset by lower sales volumes, which accounted for a $4 million decrease, and higher operating costs, which accounted for an additional $3 million decrease.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pPr>
      <w:r>
        <w:rPr>
          <w:rFonts w:ascii="Times New Roman;serif" w:hAnsi="Times New Roman;serif"/>
          <w:b w:val="false"/>
          <w:i/>
          <w:color w:val="000000"/>
          <w:sz w:val="20"/>
        </w:rPr>
        <w:t>Six Months Ended June 30, 2026 Compared to Six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Gross operating margin from butane isomerization and related operations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increased a net</w:t>
      </w:r>
      <w:r>
        <w:rPr>
          <w:color w:val="000000"/>
          <w:shd w:fill="FFFFFF" w:val="clear"/>
        </w:rPr>
        <w:t xml:space="preserve"> </w:t>
      </w:r>
      <w:r>
        <w:rPr>
          <w:rFonts w:ascii="Times New Roman;serif" w:hAnsi="Times New Roman;serif"/>
          <w:b w:val="false"/>
          <w:color w:val="000000"/>
          <w:sz w:val="20"/>
        </w:rPr>
        <w:t>$4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color w:val="000000"/>
          <w:shd w:fill="FFFFFF" w:val="clear"/>
        </w:rPr>
        <w:t xml:space="preserve"> </w:t>
      </w:r>
      <w:r>
        <w:rPr>
          <w:rFonts w:ascii="Times New Roman;serif" w:hAnsi="Times New Roman;serif"/>
          <w:b w:val="false"/>
          <w:color w:val="000000"/>
          <w:sz w:val="20"/>
          <w:shd w:fill="FFFFFF" w:val="clear"/>
        </w:rPr>
        <w:t xml:space="preserve">primarily due to higher average sales margins, which accounted for a $10 million increase, a 36 MBPD increase in isomerization and related DIB processing volumes, which accounted for an additional $4 million increase, partially offset by higher operating costs, which accounted for a $6 million decrease, and lower sales volumes, which accounted for an additional $4 million decrease.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Octane enhancement and related plant operations</w:t>
      </w:r>
    </w:p>
    <w:p>
      <w:pPr>
        <w:pStyle w:val="TextBody"/>
        <w:bidi w:val="0"/>
        <w:spacing w:lineRule="auto" w:line="288" w:before="0" w:after="240"/>
        <w:jc w:val="both"/>
        <w:rPr/>
      </w:pP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Compared to </w:t>
      </w: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2025</w:t>
      </w:r>
      <w:r>
        <w:rPr>
          <w:rFonts w:ascii="Times New Roman;serif" w:hAnsi="Times New Roman;serif"/>
          <w:b w:val="false"/>
          <w:color w:val="000000"/>
          <w:sz w:val="20"/>
          <w:shd w:fill="FFFFFF" w:val="clear"/>
        </w:rPr>
        <w:t xml:space="preserve">. Gross operating margin from our octane enhancement and related plant operations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increased a net $8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primarily due to higher average sales margins, which accounted for an $8 million increase, and higher mark-to-market earnings, which accounted for an additional $5 million increase, partially offset by higher operating costs, which accounted for a $6 million decrease.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i/>
          <w:color w:val="000000"/>
          <w:sz w:val="20"/>
        </w:rPr>
        <w:t>Six Months Ended June 30, 2026 Compared to Six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Gross operating margin from our octane enhancement and related plant operations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a net </w:t>
      </w:r>
      <w:r>
        <w:rPr>
          <w:rFonts w:ascii="Times New Roman;serif" w:hAnsi="Times New Roman;serif"/>
          <w:b w:val="false"/>
          <w:color w:val="000000"/>
          <w:sz w:val="20"/>
        </w:rPr>
        <w:t>$38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color w:val="000000"/>
          <w:shd w:fill="FFFFFF" w:val="clear"/>
        </w:rPr>
        <w:t xml:space="preserve"> </w:t>
      </w:r>
      <w:r>
        <w:rPr>
          <w:rFonts w:ascii="Times New Roman;serif" w:hAnsi="Times New Roman;serif"/>
          <w:b w:val="false"/>
          <w:color w:val="000000"/>
          <w:sz w:val="20"/>
          <w:shd w:fill="FFFFFF" w:val="clear"/>
        </w:rPr>
        <w:t>primarily due to lower sales volumes, which accounted for a $31 million decrease, higher operating costs, which accounted for a $9 million decrease, and lower mark-to-market earnings, which accounted for an additional $7 million decrease, partially offset by higher average sales margins, which accounted for a $9 million increase. The period-to-period decrease in sales volumes at these facilities was primarily due to planned major maintenance activities at our octane enhancement plant during the first quarter of 2026, which were completed in April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Refined products pipelines and related activities</w:t>
      </w:r>
    </w:p>
    <w:p>
      <w:pPr>
        <w:pStyle w:val="TextBody"/>
        <w:bidi w:val="0"/>
        <w:spacing w:lineRule="auto" w:line="288" w:before="0" w:after="240"/>
        <w:jc w:val="both"/>
        <w:rPr/>
      </w:pP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Compared to </w:t>
      </w: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2025</w:t>
      </w:r>
      <w:r>
        <w:rPr>
          <w:rFonts w:ascii="Times New Roman;serif" w:hAnsi="Times New Roman;serif"/>
          <w:b w:val="false"/>
          <w:color w:val="000000"/>
          <w:sz w:val="20"/>
          <w:shd w:fill="FFFFFF" w:val="clear"/>
        </w:rPr>
        <w:t xml:space="preserve">. Gross operating margin from refined products pipelines and related activities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$13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from our refined products marketing activities, including the TW Products System, increased $14 million quarter-to-quarter primarily due to higher mark-to-market earnings.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Gross operating margin from our refined products terminal in Beaumont, Texas increased $6 million quarter-to-quarter primarily due to lower operating costs, which accounted for a $4 million increase, and higher storage and other fee revenues, which accounted for an additional $2 million increase. Refined products marine terminal volumes at Beaumont increased 51 MBPD quarter-to-quarter.</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from our TE Products Pipeline System decreased a net $9 million quarter-to-quarter primarily due to higher operating costs, which accounted for a $17 million decrease, and lower other revenues, which accounted for an additional $5 million decrease, partially offset by a 169 MBPD increase in transportation volumes, which accounted for a $13 million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i/>
          <w:color w:val="000000"/>
          <w:sz w:val="20"/>
        </w:rPr>
        <w:t>Six Months Ended June 30, 2026 Compared to Six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Gross operating margin from refined products pipelines and related activities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rPr>
        <w:t>$23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from our refined products marketing activities, including the TW Products System, decreased $18 million period-to-period primarily due to lower average sales margins.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operating margin from our TE Products Pipeline System decreased a net $18 million period-to-period primarily due to higher operating costs, which accounted for a $25 million decrease, and lower other revenues, which accounted for an additional $8 million decrease, partially offset by a 139 MBPD increase in transportation volumes, which accounted for an $18 million increase.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Gross operating margin from our refined products terminal in Beaumont, Texas increased $10 million period-to-period primarily due to lower operating costs, which accounted for a $6 million increase, and higher storage and other fee revenues, which accounted for an additional $5 million increase. Refined products marine terminal volumes at Beaumont increased 42 MBPD period-to-period.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Ethylene exports and related activities</w:t>
      </w:r>
    </w:p>
    <w:p>
      <w:pPr>
        <w:pStyle w:val="TextBody"/>
        <w:bidi w:val="0"/>
        <w:spacing w:lineRule="auto" w:line="288" w:before="0" w:after="240"/>
        <w:jc w:val="both"/>
        <w:rPr/>
      </w:pP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Compared to </w:t>
      </w: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2025</w:t>
      </w:r>
      <w:r>
        <w:rPr>
          <w:rFonts w:ascii="Times New Roman;serif" w:hAnsi="Times New Roman;serif"/>
          <w:b w:val="false"/>
          <w:color w:val="000000"/>
          <w:sz w:val="20"/>
          <w:shd w:fill="FFFFFF" w:val="clear"/>
        </w:rPr>
        <w:t xml:space="preserve">. Gross operating margin from ethylene exports and related activities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$23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primarily due to a 20 MBPD increase in ethylene export volumes, which accounted for an $11 million increase, higher sales volumes, which accounted for a $7 million increase, and a 38 MBPD increase in transportation volumes, which accounted for an additional $3 million increase.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i/>
          <w:color w:val="000000"/>
          <w:sz w:val="20"/>
        </w:rPr>
        <w:t>Six Months Ended June 30, 2026 Compared to Six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Gross operating margin from ethylene exports and related activities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increased a net $39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color w:val="000000"/>
          <w:shd w:fill="FFFFFF" w:val="clear"/>
        </w:rPr>
        <w:t xml:space="preserve"> </w:t>
      </w:r>
      <w:r>
        <w:rPr>
          <w:rFonts w:ascii="Times New Roman;serif" w:hAnsi="Times New Roman;serif"/>
          <w:b w:val="false"/>
          <w:color w:val="000000"/>
          <w:sz w:val="20"/>
          <w:shd w:fill="FFFFFF" w:val="clear"/>
        </w:rPr>
        <w:t xml:space="preserve">primarily due a 30 MBPD increase in ethylene export volumes, which accounted for a $30 million increase, higher sales volumes, which accounted for a $9 million increase, and a 43 MBPD increase in transportation volumes, which accounted for an additional $9 million increase, partially offset by higher operating costs, which accounted for a $9 million decrease.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Marine transportation and other services</w:t>
      </w:r>
    </w:p>
    <w:p>
      <w:pPr>
        <w:pStyle w:val="TextBody"/>
        <w:bidi w:val="0"/>
        <w:spacing w:lineRule="auto" w:line="288" w:before="0" w:after="240"/>
        <w:jc w:val="both"/>
        <w:rPr/>
      </w:pP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2026</w:t>
      </w:r>
      <w:r>
        <w:rPr>
          <w:color w:val="000000"/>
          <w:shd w:fill="FFFFFF" w:val="clear"/>
        </w:rPr>
        <w:t xml:space="preserve"> </w:t>
      </w:r>
      <w:r>
        <w:rPr>
          <w:rFonts w:ascii="Times New Roman;serif" w:hAnsi="Times New Roman;serif"/>
          <w:b w:val="false"/>
          <w:i/>
          <w:color w:val="000000"/>
          <w:sz w:val="20"/>
          <w:shd w:fill="FFFFFF" w:val="clear"/>
        </w:rPr>
        <w:t xml:space="preserve">Compared to </w:t>
      </w:r>
      <w:r>
        <w:rPr>
          <w:rFonts w:ascii="Times New Roman;serif" w:hAnsi="Times New Roman;serif"/>
          <w:b w:val="false"/>
          <w:i/>
          <w:color w:val="000000"/>
          <w:sz w:val="20"/>
        </w:rPr>
        <w:t>Second</w:t>
      </w:r>
      <w:r>
        <w:rPr>
          <w:color w:val="000000"/>
          <w:shd w:fill="FFFFFF" w:val="clear"/>
        </w:rPr>
        <w:t xml:space="preserve"> </w:t>
      </w:r>
      <w:r>
        <w:rPr>
          <w:rFonts w:ascii="Times New Roman;serif" w:hAnsi="Times New Roman;serif"/>
          <w:b w:val="false"/>
          <w:i/>
          <w:color w:val="000000"/>
          <w:sz w:val="20"/>
          <w:shd w:fill="FFFFFF" w:val="clear"/>
        </w:rPr>
        <w:t xml:space="preserve">Quarter of </w:t>
      </w:r>
      <w:r>
        <w:rPr>
          <w:rFonts w:ascii="Times New Roman;serif" w:hAnsi="Times New Roman;serif"/>
          <w:b w:val="false"/>
          <w:i/>
          <w:color w:val="000000"/>
          <w:sz w:val="20"/>
        </w:rPr>
        <w:t>2025</w:t>
      </w:r>
      <w:r>
        <w:rPr>
          <w:rFonts w:ascii="Times New Roman;serif" w:hAnsi="Times New Roman;serif"/>
          <w:b w:val="false"/>
          <w:color w:val="000000"/>
          <w:sz w:val="20"/>
          <w:shd w:fill="FFFFFF" w:val="clear"/>
        </w:rPr>
        <w:t xml:space="preserve">. Gross operating margin from marine transportation and other services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rPr>
        <w:t>$1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primarily due to higher operating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i/>
          <w:color w:val="000000"/>
          <w:sz w:val="20"/>
        </w:rPr>
        <w:t>Six Months Ended June 30, 2026 Compared to Six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Gross operating margin from marine transportation and other services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rPr>
        <w:t>$5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color w:val="000000"/>
          <w:shd w:fill="FFFFFF" w:val="clear"/>
        </w:rPr>
        <w:t xml:space="preserve"> </w:t>
      </w:r>
      <w:r>
        <w:rPr>
          <w:rFonts w:ascii="Times New Roman;serif" w:hAnsi="Times New Roman;serif"/>
          <w:b w:val="false"/>
          <w:color w:val="000000"/>
          <w:sz w:val="20"/>
          <w:shd w:fill="FFFFFF" w:val="clear"/>
        </w:rPr>
        <w:t>primarily due to higher operating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Liquidity and Capital Resources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Based on current market conditions (as of the filing date of this quarterly report), we believe that the Partnership and its consolidated businesses will have sufficient liquidity, cash flow from operations and access to capital markets to fund their capital investments and working capital needs for the reasonably foreseeable future. At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we had </w:t>
      </w:r>
      <w:r>
        <w:rPr>
          <w:rFonts w:ascii="Times New Roman;serif" w:hAnsi="Times New Roman;serif"/>
          <w:b w:val="false"/>
          <w:color w:val="000000"/>
          <w:sz w:val="20"/>
        </w:rPr>
        <w:t>$4.0 billion</w:t>
      </w:r>
      <w:r>
        <w:rPr>
          <w:color w:val="000000"/>
          <w:shd w:fill="FFFFFF" w:val="clear"/>
        </w:rPr>
        <w:t xml:space="preserve"> </w:t>
      </w:r>
      <w:r>
        <w:rPr>
          <w:rFonts w:ascii="Times New Roman;serif" w:hAnsi="Times New Roman;serif"/>
          <w:b w:val="false"/>
          <w:color w:val="000000"/>
          <w:sz w:val="20"/>
          <w:shd w:fill="FFFFFF" w:val="clear"/>
        </w:rPr>
        <w:t xml:space="preserve">of consolidated liquidity. This amount was comprised of </w:t>
      </w:r>
      <w:r>
        <w:rPr>
          <w:rFonts w:ascii="Times New Roman;serif" w:hAnsi="Times New Roman;serif"/>
          <w:b w:val="false"/>
          <w:color w:val="000000"/>
          <w:sz w:val="20"/>
        </w:rPr>
        <w:t>$246 million</w:t>
      </w:r>
      <w:r>
        <w:rPr>
          <w:color w:val="000000"/>
          <w:shd w:fill="FFFFFF" w:val="clear"/>
        </w:rPr>
        <w:t xml:space="preserve"> </w:t>
      </w:r>
      <w:r>
        <w:rPr>
          <w:rFonts w:ascii="Times New Roman;serif" w:hAnsi="Times New Roman;serif"/>
          <w:b w:val="false"/>
          <w:color w:val="000000"/>
          <w:sz w:val="20"/>
          <w:shd w:fill="FFFFFF" w:val="clear"/>
        </w:rPr>
        <w:t xml:space="preserve">of unrestricted cash on hand and </w:t>
      </w:r>
      <w:r>
        <w:rPr>
          <w:rFonts w:ascii="Times New Roman;serif" w:hAnsi="Times New Roman;serif"/>
          <w:b w:val="false"/>
          <w:color w:val="000000"/>
          <w:sz w:val="20"/>
        </w:rPr>
        <w:t>$3.8 billion</w:t>
      </w:r>
      <w:r>
        <w:rPr>
          <w:color w:val="000000"/>
          <w:shd w:fill="FFFFFF" w:val="clear"/>
        </w:rPr>
        <w:t xml:space="preserve"> </w:t>
      </w:r>
      <w:r>
        <w:rPr>
          <w:rFonts w:ascii="Times New Roman;serif" w:hAnsi="Times New Roman;serif"/>
          <w:b w:val="false"/>
          <w:color w:val="000000"/>
          <w:sz w:val="20"/>
          <w:shd w:fill="FFFFFF" w:val="clear"/>
        </w:rPr>
        <w:t xml:space="preserve">of available borrowing capacity under EPO’s revolving credit facilities, which is the net of </w:t>
      </w:r>
      <w:r>
        <w:rPr>
          <w:rFonts w:ascii="Times New Roman;serif" w:hAnsi="Times New Roman;serif"/>
          <w:b w:val="false"/>
          <w:color w:val="000000"/>
          <w:sz w:val="20"/>
        </w:rPr>
        <w:t>$4.2 billion</w:t>
      </w:r>
      <w:r>
        <w:rPr>
          <w:color w:val="000000"/>
          <w:shd w:fill="FFFFFF" w:val="clear"/>
        </w:rPr>
        <w:t xml:space="preserve"> </w:t>
      </w:r>
      <w:r>
        <w:rPr>
          <w:rFonts w:ascii="Times New Roman;serif" w:hAnsi="Times New Roman;serif"/>
          <w:b w:val="false"/>
          <w:color w:val="000000"/>
          <w:sz w:val="20"/>
          <w:shd w:fill="FFFFFF" w:val="clear"/>
        </w:rPr>
        <w:t xml:space="preserve">of total borrowing capacity under EPO’s revolving credit facilities and </w:t>
      </w:r>
      <w:r>
        <w:rPr>
          <w:rFonts w:ascii="Times New Roman;serif" w:hAnsi="Times New Roman;serif"/>
          <w:b w:val="false"/>
          <w:color w:val="000000"/>
          <w:sz w:val="20"/>
        </w:rPr>
        <w:t>$450 million</w:t>
      </w:r>
      <w:r>
        <w:rPr>
          <w:color w:val="000000"/>
          <w:shd w:fill="FFFFFF" w:val="clear"/>
        </w:rPr>
        <w:t xml:space="preserve"> </w:t>
      </w:r>
      <w:r>
        <w:rPr>
          <w:rFonts w:ascii="Times New Roman;serif" w:hAnsi="Times New Roman;serif"/>
          <w:b w:val="false"/>
          <w:color w:val="000000"/>
          <w:sz w:val="20"/>
          <w:shd w:fill="FFFFFF" w:val="clear"/>
        </w:rPr>
        <w:t>outstanding under EPO’s commercial paper program. In July 2026, our liquidity position was enhanced when EPO entered into its July 2026 $1.0 Billion Incremental Credit Agreement, which provides EPO with an additional $1.0 billion of borrowing capacity (see “</w:t>
      </w:r>
      <w:r>
        <w:rPr>
          <w:rFonts w:ascii="Times New Roman;serif" w:hAnsi="Times New Roman;serif"/>
          <w:b w:val="false"/>
          <w:i/>
          <w:color w:val="000000"/>
          <w:sz w:val="20"/>
          <w:shd w:fill="FFFFFF" w:val="clear"/>
        </w:rPr>
        <w:t>Recent Developments</w:t>
      </w:r>
      <w:r>
        <w:rPr>
          <w:color w:val="000000"/>
          <w:shd w:fill="FFFFFF" w:val="clear"/>
        </w:rPr>
        <w:t xml:space="preserve">” </w:t>
      </w:r>
      <w:r>
        <w:rPr>
          <w:rFonts w:ascii="Times New Roman;serif" w:hAnsi="Times New Roman;serif"/>
          <w:b w:val="false"/>
          <w:color w:val="000000"/>
          <w:sz w:val="20"/>
          <w:shd w:fill="FFFFFF" w:val="clear"/>
        </w:rPr>
        <w:t>within this Item 2). As a result, EPO’s aggregate borrowing capacity under its revolving credit facilities, including that of the July 2026 $1.0 Billion Incremental Credit Agreement, is currently $5.2 billion.</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We may issue debt and equity securities to assist us in meeting our future funding and liquidity requirements, including those related to capital investments. We have a universal shelf registration statement on file with the SEC that allows the Partnership and EPO to issue an unlimited amount of equity and debt securities, respectively. In addition, we have a registration statement on file with the SEC covering the issuance of up to $2.5 billion of the Partnership’s common units in amounts, at prices and on terms based on market conditions and other factors at the time of such offerings (referred to as the Partnership’s at-the-market (“ATM”) program). </w:t>
      </w:r>
      <w:r>
        <w:rPr>
          <w:rFonts w:ascii="Times New Roman;serif" w:hAnsi="Times New Roman;serif"/>
          <w:b w:val="false"/>
          <w:color w:val="000000"/>
          <w:sz w:val="20"/>
        </w:rPr>
        <w:t>The existing registration statement for our ATM program is scheduled to expire in August 2026, at which time we expect to file a replacement registration statement with the SEC in order to maintain our financial flexibility.</w:t>
      </w:r>
    </w:p>
    <w:p>
      <w:pPr>
        <w:pStyle w:val="TextBody"/>
        <w:bidi w:val="0"/>
        <w:spacing w:lineRule="auto" w:line="288" w:before="0" w:after="240"/>
        <w:jc w:val="both"/>
        <w:rPr/>
      </w:pPr>
      <w:r>
        <w:rPr>
          <w:rFonts w:ascii="Times New Roman;serif" w:hAnsi="Times New Roman;serif"/>
          <w:b/>
          <w:i/>
          <w:color w:val="000000"/>
          <w:sz w:val="20"/>
          <w:shd w:fill="FFFFFF" w:val="clear"/>
        </w:rPr>
        <w:t xml:space="preserve">Enterprise Declares Cash Distribution for </w:t>
      </w:r>
      <w:r>
        <w:rPr>
          <w:rFonts w:ascii="Times New Roman;serif" w:hAnsi="Times New Roman;serif"/>
          <w:b/>
          <w:i/>
          <w:color w:val="000000"/>
          <w:sz w:val="20"/>
        </w:rPr>
        <w:t>Second</w:t>
      </w:r>
      <w:r>
        <w:rPr>
          <w:color w:val="000000"/>
          <w:shd w:fill="FFFFFF" w:val="clear"/>
        </w:rPr>
        <w:t xml:space="preserve"> </w:t>
      </w:r>
      <w:r>
        <w:rPr>
          <w:rFonts w:ascii="Times New Roman;serif" w:hAnsi="Times New Roman;serif"/>
          <w:b/>
          <w:i/>
          <w:color w:val="000000"/>
          <w:sz w:val="20"/>
          <w:shd w:fill="FFFFFF" w:val="clear"/>
        </w:rPr>
        <w:t xml:space="preserve">Quarter of </w:t>
      </w:r>
      <w:r>
        <w:rPr>
          <w:rFonts w:ascii="Times New Roman;serif" w:hAnsi="Times New Roman;serif"/>
          <w:b/>
          <w:i/>
          <w:color w:val="000000"/>
          <w:sz w:val="20"/>
        </w:rPr>
        <w:t>2026</w:t>
      </w:r>
    </w:p>
    <w:p>
      <w:pPr>
        <w:pStyle w:val="TextBody"/>
        <w:bidi w:val="0"/>
        <w:spacing w:lineRule="auto" w:line="288" w:before="0" w:after="240"/>
        <w:jc w:val="both"/>
        <w:rPr/>
      </w:pPr>
      <w:r>
        <w:rPr>
          <w:rFonts w:ascii="Times New Roman;serif" w:hAnsi="Times New Roman;serif"/>
          <w:b w:val="false"/>
          <w:color w:val="000000"/>
          <w:sz w:val="20"/>
        </w:rPr>
        <w:t xml:space="preserve">On July 7, 2026, we announced that the Board declared a quarterly cash distribution of </w:t>
      </w:r>
      <w:r>
        <w:rPr>
          <w:rFonts w:ascii="Times New Roman;serif" w:hAnsi="Times New Roman;serif"/>
          <w:b w:val="false"/>
          <w:color w:val="000000"/>
          <w:sz w:val="20"/>
          <w:shd w:fill="FFFFFF" w:val="clear"/>
        </w:rPr>
        <w:t>$0.56</w:t>
      </w:r>
      <w:r>
        <w:rPr>
          <w:color w:val="000000"/>
        </w:rPr>
        <w:t xml:space="preserve"> </w:t>
      </w:r>
      <w:r>
        <w:rPr>
          <w:rFonts w:ascii="Times New Roman;serif" w:hAnsi="Times New Roman;serif"/>
          <w:b w:val="false"/>
          <w:color w:val="000000"/>
          <w:sz w:val="20"/>
        </w:rPr>
        <w:t xml:space="preserve">per common unit, or </w:t>
      </w:r>
      <w:r>
        <w:rPr>
          <w:rFonts w:ascii="Times New Roman;serif" w:hAnsi="Times New Roman;serif"/>
          <w:b w:val="false"/>
          <w:color w:val="000000"/>
          <w:sz w:val="20"/>
          <w:shd w:fill="FFFFFF" w:val="clear"/>
        </w:rPr>
        <w:t>$2.24</w:t>
      </w:r>
      <w:r>
        <w:rPr>
          <w:color w:val="000000"/>
        </w:rPr>
        <w:t xml:space="preserve"> </w:t>
      </w:r>
      <w:r>
        <w:rPr>
          <w:rFonts w:ascii="Times New Roman;serif" w:hAnsi="Times New Roman;serif"/>
          <w:b w:val="false"/>
          <w:color w:val="000000"/>
          <w:sz w:val="20"/>
        </w:rPr>
        <w:t xml:space="preserve">per common unit on an annualized basis, to be paid to the Partnership’s common unitholders with respect to the second quarter of 2026. The quarterly distribution is payable on August 14, 2026 to unitholders of record as of the close of business on July 31, 2026. </w:t>
      </w:r>
      <w:r>
        <w:rPr>
          <w:rFonts w:ascii="Times New Roman;serif" w:hAnsi="Times New Roman;serif"/>
          <w:b w:val="false"/>
          <w:color w:val="000000"/>
          <w:sz w:val="20"/>
          <w:shd w:fill="FFFFFF" w:val="clear"/>
        </w:rPr>
        <w:t xml:space="preserve">The total amount to be paid is </w:t>
      </w:r>
      <w:r>
        <w:rPr>
          <w:rFonts w:ascii="Times New Roman;serif" w:hAnsi="Times New Roman;serif"/>
          <w:b w:val="false"/>
          <w:color w:val="000000"/>
          <w:sz w:val="20"/>
        </w:rPr>
        <w:t>$1.2 billion</w:t>
      </w:r>
      <w:r>
        <w:rPr>
          <w:rFonts w:ascii="Times New Roman;serif" w:hAnsi="Times New Roman;serif"/>
          <w:b w:val="false"/>
          <w:color w:val="000000"/>
          <w:sz w:val="20"/>
          <w:shd w:fill="FFFFFF" w:val="clear"/>
        </w:rPr>
        <w:t xml:space="preserve">, which includes </w:t>
      </w:r>
      <w:r>
        <w:rPr>
          <w:rFonts w:ascii="Times New Roman;serif" w:hAnsi="Times New Roman;serif"/>
          <w:b w:val="false"/>
          <w:color w:val="000000"/>
          <w:sz w:val="20"/>
        </w:rPr>
        <w:t>$12 million</w:t>
      </w:r>
      <w:r>
        <w:rPr>
          <w:color w:val="000000"/>
          <w:shd w:fill="FFFFFF" w:val="clear"/>
        </w:rPr>
        <w:t xml:space="preserve"> </w:t>
      </w:r>
      <w:r>
        <w:rPr>
          <w:rFonts w:ascii="Times New Roman;serif" w:hAnsi="Times New Roman;serif"/>
          <w:b w:val="false"/>
          <w:color w:val="000000"/>
          <w:sz w:val="20"/>
          <w:shd w:fill="FFFFFF" w:val="clear"/>
        </w:rPr>
        <w:t>for distribution equivalent rights on phantom unit awards.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payment of quarterly cash distributions is subject to management’s evaluation of our financial condition, results of operations and cash flows in connection with such payments and Board approval. Management will evaluate any future increases in cash distributions on a quarterly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Consolidated Debt</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At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average maturity of EPO’s consolidated debt obligations was approximately 16.9 years. The following table presents the scheduled maturities of principal amounts of EPO’s consolidated debt obligations at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for the years indicated (dollars in millions):</w:t>
      </w:r>
    </w:p>
    <w:tbl>
      <w:tblPr>
        <w:tblW w:w="10205" w:type="dxa"/>
        <w:jc w:val="left"/>
        <w:tblInd w:w="0" w:type="dxa"/>
        <w:tblLayout w:type="fixed"/>
        <w:tblCellMar>
          <w:top w:w="28" w:type="dxa"/>
          <w:left w:w="28" w:type="dxa"/>
          <w:bottom w:w="28" w:type="dxa"/>
          <w:right w:w="28" w:type="dxa"/>
        </w:tblCellMar>
      </w:tblPr>
      <w:tblGrid>
        <w:gridCol w:w="707"/>
        <w:gridCol w:w="621"/>
        <w:gridCol w:w="622"/>
        <w:gridCol w:w="196"/>
        <w:gridCol w:w="646"/>
        <w:gridCol w:w="109"/>
        <w:gridCol w:w="109"/>
        <w:gridCol w:w="109"/>
        <w:gridCol w:w="109"/>
        <w:gridCol w:w="243"/>
        <w:gridCol w:w="522"/>
        <w:gridCol w:w="13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5"/>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Scheduled Maturities of Debt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Remainder</w:t>
              <w:br/>
              <w:t>of 2026</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 Notes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Senior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Junior Subordinated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33,532 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2"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3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1,575 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27,207 </w:t>
            </w:r>
          </w:p>
        </w:tc>
        <w:tc>
          <w:tcPr>
            <w:tcW w:w="155"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shd w:fill="FFFFFF" w:val="clear"/>
        </w:rPr>
        <w:t>In March 2026, EPO entered into a 364-Day Revolving Credit Agreement (the “March 2026</w:t>
      </w:r>
      <w:r>
        <w:rPr>
          <w:color w:val="000000"/>
        </w:rPr>
        <w:t xml:space="preserve"> </w:t>
      </w:r>
      <w:r>
        <w:rPr>
          <w:rFonts w:ascii="Times New Roman;serif" w:hAnsi="Times New Roman;serif"/>
          <w:b w:val="false"/>
          <w:color w:val="000000"/>
          <w:sz w:val="20"/>
        </w:rPr>
        <w:t>$1.5</w:t>
      </w:r>
      <w:r>
        <w:rPr>
          <w:color w:val="000000"/>
          <w:shd w:fill="FFFFFF" w:val="clear"/>
        </w:rPr>
        <w:t xml:space="preserve"> </w:t>
      </w:r>
      <w:r>
        <w:rPr>
          <w:rFonts w:ascii="Times New Roman;serif" w:hAnsi="Times New Roman;serif"/>
          <w:b w:val="false"/>
          <w:color w:val="000000"/>
          <w:sz w:val="20"/>
          <w:shd w:fill="FFFFFF" w:val="clear"/>
        </w:rPr>
        <w:t>Billion 364-Day Revolving Credit Agreement”) that replaced its prior 364-day revolving credit agreement. The March 2026</w:t>
      </w:r>
      <w:r>
        <w:rPr>
          <w:color w:val="000000"/>
        </w:rPr>
        <w:t xml:space="preserve"> </w:t>
      </w:r>
      <w:r>
        <w:rPr>
          <w:rFonts w:ascii="Times New Roman;serif" w:hAnsi="Times New Roman;serif"/>
          <w:b w:val="false"/>
          <w:color w:val="000000"/>
          <w:sz w:val="20"/>
        </w:rPr>
        <w:t>$1.5</w:t>
      </w:r>
      <w:r>
        <w:rPr>
          <w:color w:val="000000"/>
          <w:shd w:fill="FFFFFF" w:val="clear"/>
        </w:rPr>
        <w:t xml:space="preserve"> </w:t>
      </w:r>
      <w:r>
        <w:rPr>
          <w:rFonts w:ascii="Times New Roman;serif" w:hAnsi="Times New Roman;serif"/>
          <w:b w:val="false"/>
          <w:color w:val="000000"/>
          <w:sz w:val="20"/>
          <w:shd w:fill="FFFFFF" w:val="clear"/>
        </w:rPr>
        <w:t xml:space="preserve">Billion 364-Day Revolving Credit Agreement matures in March 2027. EPO’s borrowing capacity was unchanged from the prior 364-day revolving credit agreement.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there are no principal amounts outstanding under this revolving credit agreement.</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For additional information regarding our consolidated debt obligations, see </w:t>
      </w:r>
      <w:r>
        <w:rPr>
          <w:rFonts w:ascii="Times New Roman;serif" w:hAnsi="Times New Roman;serif"/>
          <w:b w:val="false"/>
          <w:color w:val="000000"/>
          <w:sz w:val="20"/>
        </w:rPr>
        <w:t>Note 7</w:t>
      </w:r>
      <w:r>
        <w:rPr>
          <w:color w:val="000000"/>
          <w:shd w:fill="FFFFFF" w:val="clear"/>
        </w:rPr>
        <w:t xml:space="preserve"> </w:t>
      </w:r>
      <w:r>
        <w:rPr>
          <w:rFonts w:ascii="Times New Roman;serif" w:hAnsi="Times New Roman;serif"/>
          <w:b w:val="false"/>
          <w:color w:val="000000"/>
          <w:sz w:val="20"/>
          <w:shd w:fill="FFFFFF" w:val="clear"/>
        </w:rPr>
        <w:t>of the Notes to Unaudited Condensed Consolidated Financial Statements included under Part I, Item 1 of this quarterly report.</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Credit Ratings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August 7, 2026</w:t>
      </w:r>
      <w:r>
        <w:rPr>
          <w:rFonts w:ascii="Times New Roman;serif" w:hAnsi="Times New Roman;serif"/>
          <w:b w:val="false"/>
          <w:color w:val="000000"/>
          <w:sz w:val="20"/>
          <w:shd w:fill="FFFFFF" w:val="clear"/>
        </w:rPr>
        <w:t>, the investment-grade credit ratings of EPO’s long-term senior unsecured debt securities were A- from Standard and Poor’s, A3 from Moody’s and A- from Fitch Ratings. In addition, the credit ratings of EPO’s short-term senior unsecured debt securities were A-2 from Standard and Poor’s, P-2 from Moody’s and F-2 from Fitch Ratings. EPO’s credit ratings reflect only the view of a rating agency and should not be interpreted as a recommendation to buy, sell or hold any of our securities. A credit rating can be revised upward or downward or withdrawn at any time by a rating agency, if it determines that circumstances warrant such a change. A credit rating from one rating agency should be evaluated independently of credit ratings from other rating agencies.</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Common Unit Repurchases Under 2019 Buyback Program</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In January 2019, we announced that the Board had approved a $2.0 billion multi-year unit buyback program (the “2019 Buyback Program”), which provides the Partnership with an additional method to return capital to investors. </w:t>
      </w:r>
      <w:r>
        <w:rPr>
          <w:rFonts w:ascii="Times New Roman;serif" w:hAnsi="Times New Roman;serif"/>
          <w:b w:val="false"/>
          <w:color w:val="000000"/>
          <w:sz w:val="20"/>
        </w:rPr>
        <w:t xml:space="preserve">In October 2025, we announced that the Board approved an increase to the authorized maximum aggregate purchase price (excluding fees, commissions and other ancillary expenses) of the Partnership’s common units that may be repurchased under the 2019 Buyback Program from $2.0 billion to $5.0 billion. </w:t>
      </w:r>
      <w:r>
        <w:rPr>
          <w:rFonts w:ascii="Times New Roman;serif" w:hAnsi="Times New Roman;serif"/>
          <w:b w:val="false"/>
          <w:color w:val="000000"/>
          <w:sz w:val="20"/>
          <w:shd w:fill="FFFFFF" w:val="clear"/>
        </w:rPr>
        <w:t xml:space="preserve">The Partnership repurchased </w:t>
      </w:r>
      <w:r>
        <w:rPr>
          <w:rFonts w:ascii="Times New Roman;serif" w:hAnsi="Times New Roman;serif"/>
          <w:b w:val="false"/>
          <w:color w:val="000000"/>
          <w:sz w:val="20"/>
        </w:rPr>
        <w:t xml:space="preserve">4,166,738 and 7,290,930 </w:t>
      </w:r>
      <w:r>
        <w:rPr>
          <w:rFonts w:ascii="Times New Roman;serif" w:hAnsi="Times New Roman;serif"/>
          <w:b w:val="false"/>
          <w:color w:val="000000"/>
          <w:sz w:val="20"/>
          <w:shd w:fill="FFFFFF" w:val="clear"/>
        </w:rPr>
        <w:t xml:space="preserve">common units 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respectively</w:t>
      </w:r>
      <w:r>
        <w:rPr>
          <w:rFonts w:ascii="Times New Roman;serif" w:hAnsi="Times New Roman;serif"/>
          <w:b w:val="false"/>
          <w:color w:val="000000"/>
          <w:sz w:val="20"/>
          <w:shd w:fill="FFFFFF" w:val="clear"/>
        </w:rPr>
        <w:t xml:space="preserve">. The total cost of these repurchases, including commissions and fees, was </w:t>
      </w:r>
      <w:r>
        <w:rPr>
          <w:rFonts w:ascii="Times New Roman;serif" w:hAnsi="Times New Roman;serif"/>
          <w:b w:val="false"/>
          <w:color w:val="000000"/>
          <w:sz w:val="20"/>
        </w:rPr>
        <w:t>$159 million and $275 million, respectively</w:t>
      </w:r>
      <w:r>
        <w:rPr>
          <w:rFonts w:ascii="Times New Roman;serif" w:hAnsi="Times New Roman;serif"/>
          <w:b w:val="false"/>
          <w:color w:val="000000"/>
          <w:sz w:val="20"/>
          <w:shd w:fill="FFFFFF" w:val="clear"/>
        </w:rPr>
        <w:t xml:space="preserve">.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remaining available capacity under the 2019 Buyback Program was $3.3 billion.</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 Statement Highlights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summarizes our consolidated cash flows from operating, investing and financing activities for the periods indicated (dollars in millions). </w:t>
      </w:r>
    </w:p>
    <w:tbl>
      <w:tblPr>
        <w:tblW w:w="5408" w:type="dxa"/>
        <w:jc w:val="left"/>
        <w:tblInd w:w="0" w:type="dxa"/>
        <w:tblLayout w:type="fixed"/>
        <w:tblCellMar>
          <w:top w:w="28" w:type="dxa"/>
          <w:left w:w="28" w:type="dxa"/>
          <w:bottom w:w="28" w:type="dxa"/>
          <w:right w:w="28" w:type="dxa"/>
        </w:tblCellMar>
      </w:tblPr>
      <w:tblGrid>
        <w:gridCol w:w="1201"/>
        <w:gridCol w:w="1052"/>
        <w:gridCol w:w="1061"/>
        <w:gridCol w:w="196"/>
        <w:gridCol w:w="556"/>
        <w:gridCol w:w="109"/>
        <w:gridCol w:w="109"/>
        <w:gridCol w:w="109"/>
        <w:gridCol w:w="109"/>
        <w:gridCol w:w="196"/>
        <w:gridCol w:w="55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w:t>
              <w:br/>
              <w:t>Ended June 30,</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 provided by operating activities</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 used in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 used in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pPr>
      <w:r>
        <w:rPr>
          <w:rFonts w:ascii="Times New Roman;serif" w:hAnsi="Times New Roman;serif"/>
          <w:b w:val="false"/>
          <w:color w:val="000000"/>
          <w:sz w:val="20"/>
          <w:shd w:fill="FFFFFF" w:val="clear"/>
        </w:rPr>
        <w:t>Net cash flow provided by operating activities are largely dependent on earnings from our consolidated business activities. Changes in energy commodity prices may impact the demand for natural gas, NGLs, crude oil, petrochemicals and refined products, which could impact sales of our products and the demand for our midstream services. Changes in demand for our products and services may be caused by other factors, including prevailing economic conditions, reduced demand by consumers for the end products made with hydrocarbon products, increased competition, public health emergencies, adverse weather conditions and government regulations affecting prices and production levels. We may also incur credit and price risk to the extent customers do not fulfill their contractual obligations to us in connection with our marketing activities and long-term take-or-pay and dedication agreements. For a more complete discussion of these and other risk factors pertinent to our business, see “</w:t>
      </w:r>
      <w:r>
        <w:rPr>
          <w:rFonts w:ascii="Times New Roman;serif" w:hAnsi="Times New Roman;serif"/>
          <w:b w:val="false"/>
          <w:i/>
          <w:color w:val="000000"/>
          <w:sz w:val="20"/>
          <w:shd w:fill="FFFFFF" w:val="clear"/>
        </w:rPr>
        <w:t>Risk Factors</w:t>
      </w:r>
      <w:r>
        <w:rPr>
          <w:color w:val="000000"/>
          <w:shd w:fill="FFFFFF" w:val="clear"/>
        </w:rPr>
        <w:t xml:space="preserve">” </w:t>
      </w:r>
      <w:r>
        <w:rPr>
          <w:rFonts w:ascii="Times New Roman;serif" w:hAnsi="Times New Roman;serif"/>
          <w:b w:val="false"/>
          <w:color w:val="000000"/>
          <w:sz w:val="20"/>
          <w:shd w:fill="FFFFFF" w:val="clear"/>
        </w:rPr>
        <w:t xml:space="preserve">included under Part I, Item 1A of the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Form 10-K.</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additional information regarding our cash flow amounts, please refer to the Unaudited Condensed Statements of Consolidated Cash Flows included under Part I, Item 1 of this quarterly report.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information highlights significant quarter-to-quarter fluctuations in our consolidated cash flow amounts:</w:t>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Operating activities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Net cash flow provided by operating activities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a net </w:t>
      </w:r>
      <w:r>
        <w:rPr>
          <w:rFonts w:ascii="Times New Roman;serif" w:hAnsi="Times New Roman;serif"/>
          <w:b w:val="false"/>
          <w:color w:val="000000"/>
          <w:sz w:val="20"/>
        </w:rPr>
        <w:t>$275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color w:val="000000"/>
          <w:shd w:fill="FFFFFF" w:val="clear"/>
        </w:rPr>
        <w:t xml:space="preserve"> </w:t>
      </w:r>
      <w:r>
        <w:rPr>
          <w:rFonts w:ascii="Times New Roman;serif" w:hAnsi="Times New Roman;serif"/>
          <w:b w:val="false"/>
          <w:color w:val="000000"/>
          <w:sz w:val="20"/>
          <w:shd w:fill="FFFFFF" w:val="clear"/>
        </w:rPr>
        <w:t>primarily due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$629 million period-to-period increase resulting from higher partnership earnings (determined by adjusting our $492 million period-to-period increase in net income for changes in the non-cash items identified on our Unaudited Condensed Consolidated Statements of Consolidated Cash Flows); partially offset by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$348 million</w:t>
      </w:r>
      <w:r>
        <w:rPr>
          <w:color w:val="000000"/>
          <w:shd w:fill="FFFFFF" w:val="clear"/>
        </w:rPr>
        <w:t xml:space="preserve"> </w:t>
      </w:r>
      <w:r>
        <w:rPr>
          <w:rFonts w:ascii="Times New Roman;serif" w:hAnsi="Times New Roman;serif"/>
          <w:b w:val="false"/>
          <w:color w:val="000000"/>
          <w:sz w:val="20"/>
        </w:rPr>
        <w:t>period-to-period</w:t>
      </w:r>
      <w:r>
        <w:rPr>
          <w:color w:val="000000"/>
          <w:shd w:fill="FFFFFF" w:val="clear"/>
        </w:rPr>
        <w:t xml:space="preserv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from changes in operating accounts primarily due to the use of working capital employed in our marketing activities, which includes the impact of (i) fluctuations in commodity prices, (ii) timing of our inventory purchase and sale strategies, and (iii) changes in margin deposit requirements associated with our commodity derivative instruments.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For information regarding significant </w:t>
      </w:r>
      <w:r>
        <w:rPr>
          <w:rFonts w:ascii="Times New Roman;serif" w:hAnsi="Times New Roman;serif"/>
          <w:b w:val="false"/>
          <w:color w:val="000000"/>
          <w:sz w:val="20"/>
        </w:rPr>
        <w:t>period-to-period</w:t>
      </w:r>
      <w:r>
        <w:rPr>
          <w:color w:val="000000"/>
          <w:shd w:fill="FFFFFF" w:val="clear"/>
        </w:rPr>
        <w:t xml:space="preserve"> </w:t>
      </w:r>
      <w:r>
        <w:rPr>
          <w:rFonts w:ascii="Times New Roman;serif" w:hAnsi="Times New Roman;serif"/>
          <w:b w:val="false"/>
          <w:color w:val="000000"/>
          <w:sz w:val="20"/>
          <w:shd w:fill="FFFFFF" w:val="clear"/>
        </w:rPr>
        <w:t>changes in our consolidated net income and underlying segment results, see “</w:t>
      </w:r>
      <w:r>
        <w:rPr>
          <w:rFonts w:ascii="Times New Roman;serif" w:hAnsi="Times New Roman;serif"/>
          <w:b w:val="false"/>
          <w:i/>
          <w:color w:val="000000"/>
          <w:sz w:val="20"/>
          <w:shd w:fill="FFFFFF" w:val="clear"/>
        </w:rPr>
        <w:t>Income Statement Highlights</w:t>
      </w:r>
      <w:r>
        <w:rPr>
          <w:color w:val="000000"/>
          <w:shd w:fill="FFFFFF" w:val="clear"/>
        </w:rPr>
        <w:t xml:space="preserve">” </w:t>
      </w:r>
      <w:r>
        <w:rPr>
          <w:rFonts w:ascii="Times New Roman;serif" w:hAnsi="Times New Roman;serif"/>
          <w:b w:val="false"/>
          <w:color w:val="000000"/>
          <w:sz w:val="20"/>
          <w:shd w:fill="FFFFFF" w:val="clear"/>
        </w:rPr>
        <w:t>and “</w:t>
      </w:r>
      <w:r>
        <w:rPr>
          <w:rFonts w:ascii="Times New Roman;serif" w:hAnsi="Times New Roman;serif"/>
          <w:b w:val="false"/>
          <w:i/>
          <w:color w:val="000000"/>
          <w:sz w:val="20"/>
          <w:shd w:fill="FFFFFF" w:val="clear"/>
        </w:rPr>
        <w:t>Business Segment Highlights</w:t>
      </w:r>
      <w:r>
        <w:rPr>
          <w:color w:val="000000"/>
          <w:shd w:fill="FFFFFF" w:val="clear"/>
        </w:rPr>
        <w:t xml:space="preserve">” </w:t>
      </w:r>
      <w:r>
        <w:rPr>
          <w:rFonts w:ascii="Times New Roman;serif" w:hAnsi="Times New Roman;serif"/>
          <w:b w:val="false"/>
          <w:color w:val="000000"/>
          <w:sz w:val="20"/>
          <w:shd w:fill="FFFFFF" w:val="clear"/>
        </w:rPr>
        <w:t>within this Part I, Item 2.</w:t>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Investing activities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Net cash flow used in investing activities during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rPr>
        <w:t>$786 million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color w:val="000000"/>
          <w:shd w:fill="FFFFFF" w:val="clear"/>
        </w:rPr>
        <w:t xml:space="preserve"> </w:t>
      </w:r>
      <w:r>
        <w:rPr>
          <w:rFonts w:ascii="Times New Roman;serif" w:hAnsi="Times New Roman;serif"/>
          <w:b w:val="false"/>
          <w:color w:val="000000"/>
          <w:sz w:val="20"/>
          <w:shd w:fill="FFFFFF" w:val="clear"/>
        </w:rPr>
        <w:t>primarily due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$584 million period-to-period increase</w:t>
      </w:r>
      <w:r>
        <w:rPr>
          <w:color w:val="000000"/>
          <w:shd w:fill="FFFFFF" w:val="clear"/>
        </w:rPr>
        <w:t xml:space="preserve"> </w:t>
      </w:r>
      <w:r>
        <w:rPr>
          <w:rFonts w:ascii="Times New Roman;serif" w:hAnsi="Times New Roman;serif"/>
          <w:b w:val="false"/>
          <w:color w:val="000000"/>
          <w:sz w:val="20"/>
          <w:shd w:fill="FFFFFF" w:val="clear"/>
        </w:rPr>
        <w:t>in proceeds from asset sales and other matters primarily attributable to the $595 million second installment payment received in January 2026 related to the sale of a 40% undivided joint interest in the Bahia NGL Pipeline;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$220 million period-to-period decrease in investments for property, plant and equipment (see “</w:t>
      </w:r>
      <w:r>
        <w:rPr>
          <w:rFonts w:ascii="Times New Roman;serif" w:hAnsi="Times New Roman;serif"/>
          <w:b w:val="false"/>
          <w:i/>
          <w:color w:val="000000"/>
          <w:sz w:val="20"/>
        </w:rPr>
        <w:t>Capital Investments</w:t>
      </w:r>
      <w:r>
        <w:rPr>
          <w:color w:val="000000"/>
        </w:rPr>
        <w:t xml:space="preserve">” </w:t>
      </w:r>
      <w:r>
        <w:rPr>
          <w:rFonts w:ascii="Times New Roman;serif" w:hAnsi="Times New Roman;serif"/>
          <w:b w:val="false"/>
          <w:color w:val="000000"/>
          <w:sz w:val="20"/>
        </w:rPr>
        <w:t>within this Part I, Item 2 for additional information).</w:t>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Financing activities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Net cash flow used in financing activities during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$2.2 billion</w:t>
      </w:r>
      <w:r>
        <w:rPr>
          <w:color w:val="000000"/>
          <w:shd w:fill="FFFFFF" w:val="clear"/>
        </w:rPr>
        <w:t xml:space="preserve"> </w:t>
      </w:r>
      <w:r>
        <w:rPr>
          <w:rFonts w:ascii="Times New Roman;serif" w:hAnsi="Times New Roman;serif"/>
          <w:b w:val="false"/>
          <w:color w:val="000000"/>
          <w:sz w:val="20"/>
          <w:shd w:fill="FFFFFF" w:val="clear"/>
        </w:rPr>
        <w:t xml:space="preserve">when compared to the </w:t>
      </w:r>
      <w:r>
        <w:rPr>
          <w:rFonts w:ascii="Times New Roman;serif" w:hAnsi="Times New Roman;serif"/>
          <w:b w:val="false"/>
          <w:color w:val="000000"/>
          <w:sz w:val="20"/>
        </w:rPr>
        <w:t>six months ended June 30, 2025</w:t>
      </w:r>
      <w:r>
        <w:rPr>
          <w:color w:val="000000"/>
          <w:shd w:fill="FFFFFF" w:val="clear"/>
        </w:rPr>
        <w:t xml:space="preserve"> </w:t>
      </w:r>
      <w:r>
        <w:rPr>
          <w:rFonts w:ascii="Times New Roman;serif" w:hAnsi="Times New Roman;serif"/>
          <w:b w:val="false"/>
          <w:color w:val="000000"/>
          <w:sz w:val="20"/>
          <w:shd w:fill="FFFFFF" w:val="clear"/>
        </w:rPr>
        <w:t>primarily due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 xml:space="preserve">a net cash </w:t>
      </w:r>
      <w:r>
        <w:rPr>
          <w:rFonts w:ascii="Times New Roman;serif" w:hAnsi="Times New Roman;serif"/>
          <w:b w:val="false"/>
          <w:color w:val="000000"/>
          <w:sz w:val="20"/>
        </w:rPr>
        <w:t>outflow</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$1.2 billion</w:t>
      </w:r>
      <w:r>
        <w:rPr>
          <w:color w:val="000000"/>
          <w:shd w:fill="FFFFFF" w:val="clear"/>
        </w:rPr>
        <w:t xml:space="preserve"> </w:t>
      </w:r>
      <w:r>
        <w:rPr>
          <w:rFonts w:ascii="Times New Roman;serif" w:hAnsi="Times New Roman;serif"/>
          <w:b w:val="false"/>
          <w:color w:val="000000"/>
          <w:sz w:val="20"/>
          <w:shd w:fill="FFFFFF" w:val="clear"/>
        </w:rPr>
        <w:t xml:space="preserve">related to debt transactions that occurred during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compared to a net cash </w:t>
      </w:r>
      <w:r>
        <w:rPr>
          <w:rFonts w:ascii="Times New Roman;serif" w:hAnsi="Times New Roman;serif"/>
          <w:b w:val="false"/>
          <w:color w:val="000000"/>
          <w:sz w:val="20"/>
        </w:rPr>
        <w:t>inflow</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$834 million</w:t>
      </w:r>
      <w:r>
        <w:rPr>
          <w:color w:val="000000"/>
          <w:shd w:fill="FFFFFF" w:val="clear"/>
        </w:rPr>
        <w:t xml:space="preserve"> </w:t>
      </w:r>
      <w:r>
        <w:rPr>
          <w:rFonts w:ascii="Times New Roman;serif" w:hAnsi="Times New Roman;serif"/>
          <w:b w:val="false"/>
          <w:color w:val="000000"/>
          <w:sz w:val="20"/>
          <w:shd w:fill="FFFFFF" w:val="clear"/>
        </w:rPr>
        <w:t xml:space="preserve">related to debt transactions that occurred during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During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we repaid $1.63 billion aggregate principal amount of senior notes, partially offset by net issuances of $450 million under EPO’s commercial paper program. During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we issued $2.0 billion aggregate principal amount of senior notes, partially offset by the repayment of $1.15 billion principal amount of senior notes;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$105 million</w:t>
      </w:r>
      <w:r>
        <w:rPr>
          <w:color w:val="000000"/>
          <w:shd w:fill="FFFFFF" w:val="clear"/>
        </w:rPr>
        <w:t xml:space="preserve"> </w:t>
      </w:r>
      <w:r>
        <w:rPr>
          <w:rFonts w:ascii="Times New Roman;serif" w:hAnsi="Times New Roman;serif"/>
          <w:b w:val="false"/>
          <w:color w:val="000000"/>
          <w:sz w:val="20"/>
        </w:rPr>
        <w:t>period-to-period increase in the repurchase of common units under the 2019 Buyback Program;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$60 million</w:t>
      </w:r>
      <w:r>
        <w:rPr>
          <w:color w:val="000000"/>
          <w:shd w:fill="FFFFFF" w:val="clear"/>
        </w:rPr>
        <w:t xml:space="preserve"> </w:t>
      </w:r>
      <w:r>
        <w:rPr>
          <w:rFonts w:ascii="Times New Roman;serif" w:hAnsi="Times New Roman;serif"/>
          <w:b w:val="false"/>
          <w:color w:val="000000"/>
          <w:sz w:val="20"/>
        </w:rPr>
        <w:t>period-to-period</w:t>
      </w:r>
      <w:r>
        <w:rPr>
          <w:color w:val="000000"/>
          <w:shd w:fill="FFFFFF" w:val="clear"/>
        </w:rPr>
        <w:t xml:space="preserv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in cash distributions paid to common unitholders primarily attributable to increases in the quarterly cash distribution rate per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Non-GAAP Cash Flow Measures</w:t>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Distributable Cash Flow and Operational Distributable Cash Flow</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partnership agreement requires us to make quarterly distributions to our common unitholders of all available cash, after any cash reserves established by Enterprise GP in its sole discretion. Cash reserves include those for the proper conduct of our business, including those for capital investments, debt service, working capital, operating expenses, common unit repurchases, commitments and contingencies and other amounts. The retention of cash allows us to reinvest in our growth and reduce our future reliance on the equity and debt capital markets. </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measure available cash by reference to distributable cash flow (“DCF”), which is a non-GAAP cash flow measure. DCF is an important financial measure for our common unitholders since it serves as an indicator of our success in providing a cash return on investment. Specifically, this financial measure indicates to investors whether or not we are generating cash flows at a level that can sustain our declared quarterly cash distributions. DCF is also a quantitative standard used by the investment community with respect to publicly traded partnerships since the value of a partnership unit is, in part, measured by its yield, which is based on the amount of cash distributions a partnership can pay to a unitholder. Our management compares the DCF we generate to the cash distributions we expect to pay our common unitholders. Using this metric, management computes our distribution coverage ratio. Our calculation of DCF may or may not be comparable to similarly titled measures used by other companies.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Based on the level of available cash each quarter, management proposes a quarterly cash distribution rate to the Board, which has sole authority in approving such matters. Enterprise GP has a non-economic ownership interest in the Partnership and is not entitled to receive any cash distributions from it based on incentive distribution rights or other equity interests.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Operational distributable cash flow (“Operational DCF”), which is defined as DCF excluding the impact of proceeds from asset sales and other matters and monetization of interest rate derivative instruments, is a supplemental non-GAAP liquidity measure that quantifies the portion of cash available for distribution to common unitholders that was generated from our normal operations. We believe that it is important to consider this non-GAAP measure as it provides an enhanced perspective of our assets’ ability to generate cash flows without regard for certain items that do not reflect our core operations.</w:t>
      </w:r>
    </w:p>
    <w:p>
      <w:pPr>
        <w:pStyle w:val="TextBody"/>
        <w:bidi w:val="0"/>
        <w:spacing w:lineRule="auto" w:line="288" w:before="0" w:after="240"/>
        <w:jc w:val="both"/>
        <w:rPr/>
      </w:pPr>
      <w:r>
        <w:rPr>
          <w:rFonts w:ascii="Times New Roman;serif" w:hAnsi="Times New Roman;serif"/>
          <w:b w:val="false"/>
          <w:color w:val="000000"/>
          <w:sz w:val="20"/>
          <w:shd w:fill="FFFFFF" w:val="clear"/>
        </w:rPr>
        <w:t>Our use of DCF and Operational DCF for the limited purposes described above and in this quarterly report is not a substitute for net cash flow provided by operating activities, which is the most comparable GAAP measure to DCF and Operational DCF. For a discussion of net cash flow provided by operating activities, see “</w:t>
      </w:r>
      <w:r>
        <w:rPr>
          <w:rFonts w:ascii="Times New Roman;serif" w:hAnsi="Times New Roman;serif"/>
          <w:b w:val="false"/>
          <w:i/>
          <w:color w:val="000000"/>
          <w:sz w:val="20"/>
          <w:shd w:fill="FFFFFF" w:val="clear"/>
        </w:rPr>
        <w:t>Cash Flow Statement Highlights</w:t>
      </w:r>
      <w:r>
        <w:rPr>
          <w:color w:val="000000"/>
          <w:shd w:fill="FFFFFF" w:val="clear"/>
        </w:rPr>
        <w:t xml:space="preserve">” </w:t>
      </w:r>
      <w:r>
        <w:rPr>
          <w:rFonts w:ascii="Times New Roman;serif" w:hAnsi="Times New Roman;serif"/>
          <w:b w:val="false"/>
          <w:color w:val="000000"/>
          <w:sz w:val="20"/>
          <w:shd w:fill="FFFFFF" w:val="clear"/>
        </w:rPr>
        <w:t>within this Part I, Item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calculation of DCF and Operational DCF for the periods indicated (dollars in millions):</w:t>
      </w:r>
    </w:p>
    <w:tbl>
      <w:tblPr>
        <w:tblW w:w="10205" w:type="dxa"/>
        <w:jc w:val="left"/>
        <w:tblInd w:w="0" w:type="dxa"/>
        <w:tblLayout w:type="fixed"/>
        <w:tblCellMar>
          <w:top w:w="28" w:type="dxa"/>
          <w:left w:w="28" w:type="dxa"/>
          <w:bottom w:w="28" w:type="dxa"/>
          <w:right w:w="28" w:type="dxa"/>
        </w:tblCellMar>
      </w:tblPr>
      <w:tblGrid>
        <w:gridCol w:w="1916"/>
        <w:gridCol w:w="1552"/>
        <w:gridCol w:w="1557"/>
        <w:gridCol w:w="196"/>
        <w:gridCol w:w="646"/>
        <w:gridCol w:w="196"/>
        <w:gridCol w:w="109"/>
        <w:gridCol w:w="109"/>
        <w:gridCol w:w="109"/>
        <w:gridCol w:w="196"/>
        <w:gridCol w:w="646"/>
        <w:gridCol w:w="196"/>
        <w:gridCol w:w="109"/>
        <w:gridCol w:w="109"/>
        <w:gridCol w:w="109"/>
        <w:gridCol w:w="196"/>
        <w:gridCol w:w="646"/>
        <w:gridCol w:w="196"/>
        <w:gridCol w:w="109"/>
        <w:gridCol w:w="109"/>
        <w:gridCol w:w="109"/>
        <w:gridCol w:w="196"/>
        <w:gridCol w:w="646"/>
        <w:gridCol w:w="243"/>
      </w:tblGrid>
      <w:tr>
        <w:trPr/>
        <w:tc>
          <w:tcPr>
            <w:tcW w:w="191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unitholders (GAAP) (1)</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1,840 </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3,322 </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2,828 </w:t>
            </w:r>
          </w:p>
        </w:tc>
        <w:tc>
          <w:tcPr>
            <w:tcW w:w="24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Adjustments to net income attributable to common unitholders to derive DCF and Operational DCF (addition or subtraction indicated by sign):</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received from unconsolidated affiliates (2)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of unconsolidated affiliates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market value of derivative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Sustaining capital expenditures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Operational DCF (non-GAAP)</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2,312 </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1,914 </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4,423 </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3,923 </w:t>
            </w:r>
          </w:p>
        </w:tc>
        <w:tc>
          <w:tcPr>
            <w:tcW w:w="24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asset sales and other matters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Monetization of interest rate derivative instruments accounted for as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DCF (non-GAAP)</w:t>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2,315 </w:t>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1,939 </w:t>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5,022 </w:t>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3,952 </w:t>
            </w:r>
          </w:p>
        </w:tc>
        <w:tc>
          <w:tcPr>
            <w:tcW w:w="243"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paid to common unitholders with respect to period, including distribution equivalent rights on phantom unit awards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 per common unit declared by Enterprise GP with respect to period (4)</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0.5600 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0.5450 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1.0800 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DCF retained by the Partnership with respect to period (5)</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coverage ratio (6)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0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pPr>
      <w:r>
        <w:rPr>
          <w:rFonts w:ascii="Times New Roman;serif" w:hAnsi="Times New Roman;serif"/>
          <w:b w:val="false"/>
          <w:color w:val="000000"/>
          <w:sz w:val="16"/>
        </w:rPr>
        <w:t>(1)For a discussion of the primary drivers of changes in our comparative income statement amounts, see “</w:t>
      </w:r>
      <w:r>
        <w:rPr>
          <w:rFonts w:ascii="Times New Roman;serif" w:hAnsi="Times New Roman;serif"/>
          <w:b w:val="false"/>
          <w:i/>
          <w:color w:val="000000"/>
          <w:sz w:val="16"/>
        </w:rPr>
        <w:t>Income Statement Highlights</w:t>
      </w:r>
      <w:r>
        <w:rPr>
          <w:color w:val="000000"/>
        </w:rPr>
        <w:t xml:space="preserve">” </w:t>
      </w:r>
      <w:r>
        <w:rPr>
          <w:rFonts w:ascii="Times New Roman;serif" w:hAnsi="Times New Roman;serif"/>
          <w:b w:val="false"/>
          <w:color w:val="000000"/>
          <w:sz w:val="16"/>
        </w:rPr>
        <w:t>within this Part I, Item 2.</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(2)Reflects aggregate distributions received from unconsolidated affiliates attributable to both earnings and the return of capital.</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(3)Sustaining capital expenditures include cash payments and accruals applicable to the period.</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(4)See Note 8 of the Notes to Unaudited Condensed Consolidated Financial Statements included under Part I, Item 1 of this quarterly report for information regarding our quarterly cash distributions declared with respect to the periods indicated.</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(5)Cash retained by the Partnership may be used for capital investments, debt service, working capital, operating expenses, common unit repurchases, commitments and contingencies and other amounts. The retention of cash reduces our reliance on the capital markets.</w:t>
      </w:r>
    </w:p>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(6)Distribution coverage ratio is determined by dividing DCF by total cash distributions paid to common unitholders and in connection with distribution equivalent rights with respect to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a reconciliation of net cash flow provided by operating activities to DCF and Operational DCF for the periods indicated (dollars in millions):</w:t>
      </w:r>
    </w:p>
    <w:tbl>
      <w:tblPr>
        <w:tblW w:w="10205" w:type="dxa"/>
        <w:jc w:val="left"/>
        <w:tblInd w:w="0" w:type="dxa"/>
        <w:tblLayout w:type="fixed"/>
        <w:tblCellMar>
          <w:top w:w="28" w:type="dxa"/>
          <w:left w:w="28" w:type="dxa"/>
          <w:bottom w:w="28" w:type="dxa"/>
          <w:right w:w="28" w:type="dxa"/>
        </w:tblCellMar>
      </w:tblPr>
      <w:tblGrid>
        <w:gridCol w:w="2200"/>
        <w:gridCol w:w="1760"/>
        <w:gridCol w:w="1774"/>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5"/>
      </w:tblGrid>
      <w:tr>
        <w:trPr/>
        <w:tc>
          <w:tcPr>
            <w:tcW w:w="220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 provided by operating activities (GAAP)</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15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Adjustments to reconcile net cash flow provided by operating activities to DCF and Operational DCF (addition or subtraction indicated by sign):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effect of changes in operating accounts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Sustaining 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received from unconsolidated affiliates attributable to the return of capital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Operational DCF (non-GAAP)</w:t>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2,312 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1,914 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4,423 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3,923 </w:t>
            </w:r>
          </w:p>
        </w:tc>
        <w:tc>
          <w:tcPr>
            <w:tcW w:w="15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asset sales and other matters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Monetization of interest rate derivative instruments accounted for as cash flow hedges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DCF (non-GAAP)</w:t>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2,315 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1,939 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5,022 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3,952 </w:t>
            </w:r>
          </w:p>
        </w:tc>
        <w:tc>
          <w:tcPr>
            <w:tcW w:w="15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u w:val="single"/>
        </w:rPr>
      </w:pPr>
      <w:r>
        <w:rPr>
          <w:rFonts w:ascii="Times New Roman;serif" w:hAnsi="Times New Roman;serif"/>
          <w:b/>
          <w:color w:val="000000"/>
          <w:sz w:val="20"/>
          <w:u w:val="single"/>
        </w:rPr>
        <w:t>Capital Investments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Since the beginning of 2026, we have placed into service our second natural gas processing train at our Mentone West location in the Delaware Basin and the second phase of our Neches River Ethane / Propane Export Facility located in Orange County, Texas. We have approximately </w:t>
      </w:r>
      <w:r>
        <w:rPr>
          <w:rFonts w:ascii="Times New Roman;serif" w:hAnsi="Times New Roman;serif"/>
          <w:b w:val="false"/>
          <w:color w:val="000000"/>
          <w:sz w:val="20"/>
        </w:rPr>
        <w:t>$6.5</w:t>
      </w:r>
      <w:r>
        <w:rPr>
          <w:color w:val="000000"/>
          <w:shd w:fill="FFFFFF" w:val="clear"/>
        </w:rPr>
        <w:t xml:space="preserve"> </w:t>
      </w:r>
      <w:r>
        <w:rPr>
          <w:rFonts w:ascii="Times New Roman;serif" w:hAnsi="Times New Roman;serif"/>
          <w:b w:val="false"/>
          <w:color w:val="000000"/>
          <w:sz w:val="20"/>
          <w:shd w:fill="FFFFFF" w:val="clear"/>
        </w:rPr>
        <w:t xml:space="preserve">billion of major growth capital projects scheduled to be completed by </w:t>
      </w:r>
      <w:r>
        <w:rPr>
          <w:rFonts w:ascii="Times New Roman;serif" w:hAnsi="Times New Roman;serif"/>
          <w:b w:val="false"/>
          <w:color w:val="000000"/>
          <w:sz w:val="20"/>
        </w:rPr>
        <w:t>the end of the first quarter of 2029</w:t>
      </w:r>
      <w:r>
        <w:rPr>
          <w:rFonts w:ascii="Times New Roman;serif" w:hAnsi="Times New Roman;serif"/>
          <w:b w:val="false"/>
          <w:color w:val="000000"/>
          <w:sz w:val="20"/>
          <w:shd w:fill="FFFFFF" w:val="clear"/>
        </w:rPr>
        <w:t>, including the following projects (including their respective scheduled completion 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natural gas gathering, compression and treating expansion projects in the Delaware and Midland Basins (2026 and 2027);</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the expansion of our LPG and PGP export capacity at EHT, including Ref 4 (fourth quarter of 2026);</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 ninth natural gas processing train (“Athena”) in the Midland Basin (fourth quarter of 2026);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tenth natural gas processing train (“Athena 2”) in the Midland Basin (third quarter of 2027);</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 twelfth natural gas processing train in the Delaware Basin (fourth quarter of 2027);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expansion and extension of the Bahia NGL Pipeline (fourth quarter of 2027);</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 NGL fractionator (“Frac 15”) at our Mont Belvieu area NGL fractionation complex (first quarter of 2028);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thirteenth natural gas processing train in the Delaware Basin (third quarter of 2028);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eleventh natural gas processing train in the Midland Basin (first quarter of 2029).</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Based on information currently available, we expect our total organic capital investments for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net of contributions from noncontrolling interests, to approximate $4.1 to $4.6 billion, which reflects organic growth capital investments of $3.5 to $4.0 billion and sustaining capital expenditures of $600 million.</w:t>
      </w:r>
      <w:r>
        <w:rPr>
          <w:color w:val="000000"/>
        </w:rPr>
        <w:t xml:space="preserve"> </w:t>
      </w:r>
      <w:r>
        <w:rPr>
          <w:rFonts w:ascii="Times New Roman;serif" w:hAnsi="Times New Roman;serif"/>
          <w:b w:val="false"/>
          <w:color w:val="000000"/>
          <w:sz w:val="20"/>
        </w:rPr>
        <w:t>In addition, we have received $599 million in cash proceeds from asset sales and other matters during 2026, primarily from the second installment payment received in January 2026 related to the sale of a 40% undivided joint interest in our Bahia NGL Pipeline, which proceeds may be used to offset a portion of our forecasted organic growth capital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forecast of capital investments is dependent upon our ability to generate the required funds from either operating cash flows or other means, including borrowings under debt agreements, the issuance of additional equity and debt securities, and potential divestitures. We may revise our forecast of capital investments due to factors beyond our control, such as adverse economic conditions, weather-related issues and changes in supplier prices resulting from raw material or labor shortages, supply chain disruptions or inflation. Furthermore, our forecast of capital investments may change over time based on future decisions by management, which may include changing the scope or timing of projects or cancelling projects altogether. Our success in raising capital, having the ability to increase revenues commensurate with cost increases and our ability to partner with other companies to share project costs and risks continue to be significant factors in determining how much capital we can invest. We believe our access to capital resources is sufficient to meet the demands of our current and future growth needs, and although we currently expect to make the forecast capital investments noted above, we may revise our plans in response to changes in economic and capital market conditions.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capital investments for the periods indicated (dollars in millions):</w:t>
      </w:r>
    </w:p>
    <w:tbl>
      <w:tblPr>
        <w:tblW w:w="4269" w:type="dxa"/>
        <w:jc w:val="left"/>
        <w:tblInd w:w="0" w:type="dxa"/>
        <w:tblLayout w:type="fixed"/>
        <w:tblCellMar>
          <w:top w:w="28" w:type="dxa"/>
          <w:left w:w="28" w:type="dxa"/>
          <w:bottom w:w="28" w:type="dxa"/>
          <w:right w:w="28" w:type="dxa"/>
        </w:tblCellMar>
      </w:tblPr>
      <w:tblGrid>
        <w:gridCol w:w="787"/>
        <w:gridCol w:w="692"/>
        <w:gridCol w:w="696"/>
        <w:gridCol w:w="196"/>
        <w:gridCol w:w="556"/>
        <w:gridCol w:w="109"/>
        <w:gridCol w:w="109"/>
        <w:gridCol w:w="109"/>
        <w:gridCol w:w="109"/>
        <w:gridCol w:w="196"/>
        <w:gridCol w:w="55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investments: (1)</w:t>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Growth capital projects (2)</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Sustaining capital projects (3)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Asset acquisitions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2,141 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2,361 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(1)Growth capital, sustaining capital and asset acquisition amounts presented in the table above are presented on a cash basis. In total, these amounts represent “Capital expenditures” as presented on our Unaudited Condensed Statements of Consolidated Cash Flows.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(2)Growth capital projects either (a) result in new sources of cash flow due to enhancements of or additions to existing assets (e.g., additional revenue streams, cost savings resulting from debottlenecking of a facility, etc.) or (b) expand our asset base through construction of new facilities that will generate additional revenue streams and cash flows.</w:t>
      </w:r>
    </w:p>
    <w:p>
      <w:pPr>
        <w:pStyle w:val="TextBody"/>
        <w:bidi w:val="0"/>
        <w:spacing w:lineRule="auto" w:line="288" w:before="0" w:after="24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(3)Sustaining capital projects are capital expenditures (as defined by GAAP) resulting from improvements to existing assets. Such expenditures serve to maintain existing operations but do not generate additional revenues or result in significant cost savings. Sustaining capital expenditures include the costs of major maintenance activities at our reaction-based plants, which are accounted for using the deferral method.</w:t>
      </w:r>
    </w:p>
    <w:p>
      <w:pPr>
        <w:pStyle w:val="TextBody"/>
        <w:bidi w:val="0"/>
        <w:spacing w:lineRule="auto" w:line="288" w:before="0" w:after="240"/>
        <w:jc w:val="both"/>
        <w:rPr/>
      </w:pPr>
      <w:r>
        <w:rPr>
          <w:rFonts w:ascii="Times New Roman;serif" w:hAnsi="Times New Roman;serif"/>
          <w:b/>
          <w:i/>
          <w:color w:val="000000"/>
          <w:sz w:val="20"/>
          <w:shd w:fill="FFFFFF" w:val="clear"/>
        </w:rPr>
        <w:t xml:space="preserve">Comparison of </w:t>
      </w:r>
      <w:r>
        <w:rPr>
          <w:rFonts w:ascii="Times New Roman;serif" w:hAnsi="Times New Roman;serif"/>
          <w:b/>
          <w:i/>
          <w:color w:val="000000"/>
          <w:sz w:val="20"/>
        </w:rPr>
        <w:t>Six Months Ended June 30, 2026</w:t>
      </w:r>
      <w:r>
        <w:rPr>
          <w:color w:val="000000"/>
          <w:shd w:fill="FFFFFF" w:val="clear"/>
        </w:rPr>
        <w:t xml:space="preserve"> </w:t>
      </w:r>
      <w:r>
        <w:rPr>
          <w:rFonts w:ascii="Times New Roman;serif" w:hAnsi="Times New Roman;serif"/>
          <w:b/>
          <w:i/>
          <w:color w:val="000000"/>
          <w:sz w:val="20"/>
          <w:shd w:fill="FFFFFF" w:val="clear"/>
        </w:rPr>
        <w:t xml:space="preserve">with </w:t>
      </w:r>
      <w:r>
        <w:rPr>
          <w:rFonts w:ascii="Times New Roman;serif" w:hAnsi="Times New Roman;serif"/>
          <w:b/>
          <w:i/>
          <w:color w:val="000000"/>
          <w:sz w:val="20"/>
        </w:rPr>
        <w:t>Six Months Ended June 30, 2025</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In total, investments in growth capital projects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rPr>
        <w:t>$366 million</w:t>
      </w:r>
      <w:r>
        <w:rPr>
          <w:color w:val="000000"/>
          <w:shd w:fill="FFFFFF" w:val="clear"/>
        </w:rPr>
        <w:t xml:space="preserve"> </w:t>
      </w:r>
      <w:r>
        <w:rPr>
          <w:rFonts w:ascii="Times New Roman;serif" w:hAnsi="Times New Roman;serif"/>
          <w:b w:val="false"/>
          <w:color w:val="000000"/>
          <w:sz w:val="20"/>
        </w:rPr>
        <w:t>period-to-period</w:t>
      </w:r>
      <w:r>
        <w:rPr>
          <w:color w:val="000000"/>
          <w:shd w:fill="FFFFFF" w:val="clear"/>
        </w:rPr>
        <w:t xml:space="preserve"> </w:t>
      </w:r>
      <w:r>
        <w:rPr>
          <w:rFonts w:ascii="Times New Roman;serif" w:hAnsi="Times New Roman;serif"/>
          <w:b w:val="false"/>
          <w:color w:val="000000"/>
          <w:sz w:val="20"/>
          <w:shd w:fill="FFFFFF" w:val="clear"/>
        </w:rPr>
        <w:t>primarily due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 xml:space="preserve">lower investments in our Bahia NGL Pipeline (placed into service in December 2025), which accounted for a </w:t>
      </w:r>
      <w:r>
        <w:rPr>
          <w:rFonts w:ascii="Times New Roman;serif" w:hAnsi="Times New Roman;serif"/>
          <w:b w:val="false"/>
          <w:color w:val="000000"/>
          <w:sz w:val="20"/>
        </w:rPr>
        <w:t xml:space="preserve">$197 million </w:t>
      </w:r>
      <w:r>
        <w:rPr>
          <w:rFonts w:ascii="Times New Roman;serif" w:hAnsi="Times New Roman;serif"/>
          <w:b w:val="false"/>
          <w:color w:val="000000"/>
          <w:sz w:val="20"/>
          <w:shd w:fill="FFFFFF" w:val="clear"/>
        </w:rPr>
        <w:t>decrease;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lower investments in ethylene, ethane, and LPG export expansion and enhancement projects that support our Gulf Coast terminals</w:t>
      </w:r>
      <w:r>
        <w:rPr>
          <w:color w:val="000000"/>
        </w:rPr>
        <w:t xml:space="preserve"> </w:t>
      </w:r>
      <w:r>
        <w:rPr>
          <w:rFonts w:ascii="Times New Roman;serif" w:hAnsi="Times New Roman;serif"/>
          <w:b w:val="false"/>
          <w:color w:val="000000"/>
          <w:sz w:val="20"/>
        </w:rPr>
        <w:t>(the first and second phases of our Neches River export facility placed into service in July 2025 and May 2026, respectively, and the second phase of enhancements at our Morgan’s Point terminal placed into service in December 2025)</w:t>
      </w:r>
      <w:r>
        <w:rPr>
          <w:rFonts w:ascii="Times New Roman;serif" w:hAnsi="Times New Roman;serif"/>
          <w:b w:val="false"/>
          <w:color w:val="000000"/>
          <w:sz w:val="20"/>
          <w:shd w:fill="FFFFFF" w:val="clear"/>
        </w:rPr>
        <w:t>, which accounted for a $130</w:t>
      </w:r>
      <w:r>
        <w:rPr>
          <w:color w:val="000000"/>
        </w:rPr>
        <w:t xml:space="preserve"> </w:t>
      </w:r>
      <w:r>
        <w:rPr>
          <w:rFonts w:ascii="Times New Roman;serif" w:hAnsi="Times New Roman;serif"/>
          <w:b w:val="false"/>
          <w:color w:val="000000"/>
          <w:sz w:val="20"/>
        </w:rPr>
        <w:t>million</w:t>
      </w:r>
      <w:r>
        <w:rPr>
          <w:color w:val="000000"/>
          <w:shd w:fill="FFFFFF" w:val="clear"/>
        </w:rPr>
        <w:t xml:space="preserve"> </w:t>
      </w:r>
      <w:r>
        <w:rPr>
          <w:rFonts w:ascii="Times New Roman;serif" w:hAnsi="Times New Roman;serif"/>
          <w:b w:val="false"/>
          <w:color w:val="000000"/>
          <w:sz w:val="20"/>
          <w:shd w:fill="FFFFFF" w:val="clear"/>
        </w:rPr>
        <w:t>decrease;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 xml:space="preserve">lower investments at our </w:t>
      </w:r>
      <w:r>
        <w:rPr>
          <w:rFonts w:ascii="Times New Roman;serif" w:hAnsi="Times New Roman;serif"/>
          <w:b w:val="false"/>
          <w:color w:val="000000"/>
          <w:sz w:val="20"/>
        </w:rPr>
        <w:t>Mont Belvieu area NGL fractionation complex (Frac 14 placed into service during the fourth quarter of 2025)</w:t>
      </w:r>
      <w:r>
        <w:rPr>
          <w:rFonts w:ascii="Times New Roman;serif" w:hAnsi="Times New Roman;serif"/>
          <w:b w:val="false"/>
          <w:color w:val="000000"/>
          <w:sz w:val="20"/>
          <w:shd w:fill="FFFFFF" w:val="clear"/>
        </w:rPr>
        <w:t xml:space="preserve">, which accounted for an additional </w:t>
      </w:r>
      <w:r>
        <w:rPr>
          <w:rFonts w:ascii="Times New Roman;serif" w:hAnsi="Times New Roman;serif"/>
          <w:b w:val="false"/>
          <w:color w:val="000000"/>
          <w:sz w:val="20"/>
        </w:rPr>
        <w:t xml:space="preserve">$67 million </w:t>
      </w:r>
      <w:r>
        <w:rPr>
          <w:rFonts w:ascii="Times New Roman;serif" w:hAnsi="Times New Roman;serif"/>
          <w:b w:val="false"/>
          <w:color w:val="000000"/>
          <w:sz w:val="20"/>
          <w:shd w:fill="FFFFFF" w:val="clear"/>
        </w:rPr>
        <w:t>decrease; partially offset by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 xml:space="preserve">higher investments in the construction of natural gas processing trains and related gathering system expansions in the Delaware and Midland Basins, which accounted for a </w:t>
      </w:r>
      <w:r>
        <w:rPr>
          <w:rFonts w:ascii="Times New Roman;serif" w:hAnsi="Times New Roman;serif"/>
          <w:b w:val="false"/>
          <w:color w:val="000000"/>
          <w:sz w:val="20"/>
        </w:rPr>
        <w:t>$68 million</w:t>
      </w:r>
      <w:r>
        <w:rPr>
          <w:color w:val="000000"/>
          <w:shd w:fill="FFFFFF" w:val="clear"/>
        </w:rPr>
        <w:t xml:space="preserve"> </w:t>
      </w:r>
      <w:r>
        <w:rPr>
          <w:rFonts w:ascii="Times New Roman;serif" w:hAnsi="Times New Roman;serif"/>
          <w:b w:val="false"/>
          <w:color w:val="000000"/>
          <w:sz w:val="20"/>
          <w:shd w:fill="FFFFFF" w:val="clear"/>
        </w:rPr>
        <w:t>increase.</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Investments attributable to sustaining capital projects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$126 million</w:t>
      </w:r>
      <w:r>
        <w:rPr>
          <w:color w:val="000000"/>
          <w:shd w:fill="FFFFFF" w:val="clear"/>
        </w:rPr>
        <w:t xml:space="preserve"> </w:t>
      </w:r>
      <w:r>
        <w:rPr>
          <w:rFonts w:ascii="Times New Roman;serif" w:hAnsi="Times New Roman;serif"/>
          <w:b w:val="false"/>
          <w:color w:val="000000"/>
          <w:sz w:val="20"/>
        </w:rPr>
        <w:t>period-to-period</w:t>
      </w:r>
      <w:r>
        <w:rPr>
          <w:color w:val="000000"/>
          <w:shd w:fill="FFFFFF" w:val="clear"/>
        </w:rPr>
        <w:t xml:space="preserve"> </w:t>
      </w:r>
      <w:r>
        <w:rPr>
          <w:rFonts w:ascii="Times New Roman;serif" w:hAnsi="Times New Roman;serif"/>
          <w:b w:val="false"/>
          <w:color w:val="000000"/>
          <w:sz w:val="20"/>
          <w:shd w:fill="FFFFFF" w:val="clear"/>
        </w:rPr>
        <w:t>primarily due to higher major maintenance activities performed at certain of our reaction-based plants (e.g., our octane enhancement facilities) and fluctuations in timing and costs of pipeline integrity and similar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Critical Accounting Policies and Estimates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 discussion of our critical accounting policies and estimates is included in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Form 10-K. The following types of estimates, in our opinion, are subjective in nature, require the exercise of professional judgment and involve complex analysis: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depreciation methods and estimated useful lives of property, plant and equipment;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measuring recoverability of long-lived assets and fair value of equity method investments;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amortization methods of customer relationships and contract-based intangible assets;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methods we employ to measure the fair value of goodwill and related assets;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the use of estimates for revenue and expenses.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When used to prepare our Unaudited Condensed Consolidated Financial Statements, the foregoing types of estimates are based on our current knowledge and understanding of the underlying facts and circumstances. Such estimates may be revised as a result of changes in the underlying facts and circumstances. Subsequent changes in these estimates may have a significant impact on our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Other Matters</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Parent-Subsidiary Guarantor Relationship</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The Partnership (the “Parent Guarantor”) has guaranteed the payment of principal and interest on the consolidated debt obligations of EPO (the “Subsidiary Issuer”) (collectively, the “Guaranteed Debt”). If EPO were to default on any of its Guaranteed Debt, the Partnership would be responsible for full and unconditional repayment of such obligations. At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total amount of Guaranteed Debt was </w:t>
      </w:r>
      <w:r>
        <w:rPr>
          <w:rFonts w:ascii="Times New Roman;serif" w:hAnsi="Times New Roman;serif"/>
          <w:b w:val="false"/>
          <w:color w:val="000000"/>
          <w:sz w:val="20"/>
        </w:rPr>
        <w:t>$34.1 billion</w:t>
      </w:r>
      <w:r>
        <w:rPr>
          <w:rFonts w:ascii="Times New Roman;serif" w:hAnsi="Times New Roman;serif"/>
          <w:b w:val="false"/>
          <w:color w:val="000000"/>
          <w:sz w:val="20"/>
          <w:shd w:fill="FFFFFF" w:val="clear"/>
        </w:rPr>
        <w:t xml:space="preserve">, which was comprised of </w:t>
      </w:r>
      <w:r>
        <w:rPr>
          <w:rFonts w:ascii="Times New Roman;serif" w:hAnsi="Times New Roman;serif"/>
          <w:b w:val="false"/>
          <w:color w:val="000000"/>
          <w:sz w:val="20"/>
        </w:rPr>
        <w:t>$30.8 billion</w:t>
      </w:r>
      <w:r>
        <w:rPr>
          <w:color w:val="000000"/>
          <w:shd w:fill="FFFFFF" w:val="clear"/>
        </w:rPr>
        <w:t xml:space="preserve"> </w:t>
      </w:r>
      <w:r>
        <w:rPr>
          <w:rFonts w:ascii="Times New Roman;serif" w:hAnsi="Times New Roman;serif"/>
          <w:b w:val="false"/>
          <w:color w:val="000000"/>
          <w:sz w:val="20"/>
          <w:shd w:fill="FFFFFF" w:val="clear"/>
        </w:rPr>
        <w:t xml:space="preserve">of EPO’s senior notes, </w:t>
      </w:r>
      <w:r>
        <w:rPr>
          <w:rFonts w:ascii="Times New Roman;serif" w:hAnsi="Times New Roman;serif"/>
          <w:b w:val="false"/>
          <w:color w:val="000000"/>
          <w:sz w:val="20"/>
        </w:rPr>
        <w:t>$2.3 billion</w:t>
      </w:r>
      <w:r>
        <w:rPr>
          <w:color w:val="000000"/>
          <w:shd w:fill="FFFFFF" w:val="clear"/>
        </w:rPr>
        <w:t xml:space="preserve"> </w:t>
      </w:r>
      <w:r>
        <w:rPr>
          <w:rFonts w:ascii="Times New Roman;serif" w:hAnsi="Times New Roman;serif"/>
          <w:b w:val="false"/>
          <w:color w:val="000000"/>
          <w:sz w:val="20"/>
          <w:shd w:fill="FFFFFF" w:val="clear"/>
        </w:rPr>
        <w:t xml:space="preserve">of EPO’s junior subordinated notes, </w:t>
      </w:r>
      <w:r>
        <w:rPr>
          <w:rFonts w:ascii="Times New Roman;serif" w:hAnsi="Times New Roman;serif"/>
          <w:b w:val="false"/>
          <w:color w:val="000000"/>
          <w:sz w:val="20"/>
        </w:rPr>
        <w:t>$450 million</w:t>
      </w:r>
      <w:r>
        <w:rPr>
          <w:color w:val="000000"/>
          <w:shd w:fill="FFFFFF" w:val="clear"/>
        </w:rPr>
        <w:t xml:space="preserve"> </w:t>
      </w:r>
      <w:r>
        <w:rPr>
          <w:rFonts w:ascii="Times New Roman;serif" w:hAnsi="Times New Roman;serif"/>
          <w:b w:val="false"/>
          <w:color w:val="000000"/>
          <w:sz w:val="20"/>
          <w:shd w:fill="FFFFFF" w:val="clear"/>
        </w:rPr>
        <w:t xml:space="preserve">of commercial paper and </w:t>
      </w:r>
      <w:r>
        <w:rPr>
          <w:rFonts w:ascii="Times New Roman;serif" w:hAnsi="Times New Roman;serif"/>
          <w:b w:val="false"/>
          <w:color w:val="000000"/>
          <w:sz w:val="20"/>
        </w:rPr>
        <w:t>$552 million</w:t>
      </w:r>
      <w:r>
        <w:rPr>
          <w:color w:val="000000"/>
          <w:shd w:fill="FFFFFF" w:val="clear"/>
        </w:rPr>
        <w:t xml:space="preserve"> </w:t>
      </w:r>
      <w:r>
        <w:rPr>
          <w:rFonts w:ascii="Times New Roman;serif" w:hAnsi="Times New Roman;serif"/>
          <w:b w:val="false"/>
          <w:color w:val="000000"/>
          <w:sz w:val="20"/>
          <w:shd w:fill="FFFFFF" w:val="clear"/>
        </w:rPr>
        <w:t>of related accrued interest.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Partnership’s guarantees of EPO’s senior note obligations, commercial paper notes and borrowings under bank credit facilities represent unsecured and unsubordinated obligations of the Partnership that rank equal in right of payment to all other existing or future unsecured and unsubordinated indebtedness of the Partnership. In addition, these guarantees effectively rank junior in right of payment to any existing or future indebtedness of the Partnership that is secured and unsubordinated, to the extent of the assets securing such indebtedness.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Partnership’s guarantees of EPO’s junior subordinated notes represent unsecured and subordinated obligations of the Partnership that rank equal in right of payment to all other existing or future subordinated indebtedness of the Partnership and senior in right of payment to all existing or future equity securities of the Partnership. The Partnership’s guarantees of EPO’s junior subordinated notes effectively rank junior in right of payment to (i) any existing or future indebtedness of the Partnership that is secured, to the extent of the assets securing such indebtedness and (ii) all other existing or future unsecured and unsubordinated indebtedness of the Partnership.</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Partnership may be released from its guarantee obligations only in connection with EPO’s exercise of its legal or covenant defeasance options as described in the underlying agreements.</w:t>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Selected Financial Information of Obligor Group</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present summarized financial information of the Partnership (as Parent Guarantor) and EPO (as Subsidiary Issuer) on a combined basis (collectively, the “Obligor Group”), after the elimination of intercompany balances and transactions among the Obligor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In accordance with Rule 13.01 of Regulation S-X, the summarized financial information of the Obligor Group excludes the Obligor Group’s equity in income and investments in the consolidated subsidiaries of EPO that are not party to the guarantee obligations (the “Non-Obligor Subsidiaries”). The total carrying value of the Obligor Group’s investments in the Non-Obligor Subsidiaries was </w:t>
      </w:r>
      <w:r>
        <w:rPr>
          <w:rFonts w:ascii="Times New Roman;serif" w:hAnsi="Times New Roman;serif"/>
          <w:b w:val="false"/>
          <w:color w:val="000000"/>
          <w:sz w:val="20"/>
        </w:rPr>
        <w:t>$55.2 billion</w:t>
      </w:r>
      <w:r>
        <w:rPr>
          <w:color w:val="000000"/>
          <w:shd w:fill="FFFFFF" w:val="clear"/>
        </w:rPr>
        <w:t xml:space="preserve"> </w:t>
      </w:r>
      <w:r>
        <w:rPr>
          <w:rFonts w:ascii="Times New Roman;serif" w:hAnsi="Times New Roman;serif"/>
          <w:b w:val="false"/>
          <w:color w:val="000000"/>
          <w:sz w:val="20"/>
          <w:shd w:fill="FFFFFF" w:val="clear"/>
        </w:rPr>
        <w:t xml:space="preserve">at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Obligor Group’s equity in the earnings of the Non-Obligor Subsidiaries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$3.7 billion</w:t>
      </w:r>
      <w:r>
        <w:rPr>
          <w:rFonts w:ascii="Times New Roman;serif" w:hAnsi="Times New Roman;serif"/>
          <w:b w:val="false"/>
          <w:color w:val="000000"/>
          <w:sz w:val="20"/>
          <w:shd w:fill="FFFFFF" w:val="clear"/>
        </w:rPr>
        <w:t>. Although the net assets and earnings of the Non-Obligor Subsidiaries are not directly available to the holders of the Guaranteed Debt to satisfy the repayment of such obligations, there are no significant restrictions on the ability of the Non-Obligor Subsidiaries to pay distributions or make loans to EPO or the Partnership. EPO exercises control over the Non-Obligor Subsidiaries. We continue to believe that the unaudited condensed consolidated financial statements of the Partnership presented under Part I, Item 1 of this quarterly report provide a more appropriate view of our credit standing. Our investment grade credit ratings are based on the Partnership’s consolidated financial statements and not the Obligor Group’s financial information presented below.</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summarized balance sheet information for the combined Obligor Group at the dates indicated (dollars in millions):</w:t>
      </w:r>
    </w:p>
    <w:tbl>
      <w:tblPr>
        <w:tblW w:w="10205" w:type="dxa"/>
        <w:jc w:val="left"/>
        <w:tblInd w:w="0" w:type="dxa"/>
        <w:tblLayout w:type="fixed"/>
        <w:tblCellMar>
          <w:top w:w="28" w:type="dxa"/>
          <w:left w:w="28" w:type="dxa"/>
          <w:bottom w:w="28" w:type="dxa"/>
          <w:right w:w="28" w:type="dxa"/>
        </w:tblCellMar>
      </w:tblPr>
      <w:tblGrid>
        <w:gridCol w:w="2723"/>
        <w:gridCol w:w="2380"/>
        <w:gridCol w:w="2393"/>
        <w:gridCol w:w="236"/>
        <w:gridCol w:w="672"/>
        <w:gridCol w:w="131"/>
        <w:gridCol w:w="109"/>
        <w:gridCol w:w="109"/>
        <w:gridCol w:w="109"/>
        <w:gridCol w:w="289"/>
        <w:gridCol w:w="822"/>
        <w:gridCol w:w="232"/>
      </w:tblGrid>
      <w:tr>
        <w:trPr/>
        <w:tc>
          <w:tcPr>
            <w:tcW w:w="2723"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7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Selected asset information:</w:t>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receivables from Non-Obligor Subsidiaries</w:t>
            </w:r>
          </w:p>
        </w:tc>
        <w:tc>
          <w:tcPr>
            <w:tcW w:w="23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13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3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receivables from Non-Obligor Subsidiaries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73"/>
              <w:jc w:val="left"/>
              <w:rPr>
                <w:rFonts w:ascii="Times New Roman;serif" w:hAnsi="Times New Roman;serif"/>
                <w:b w:val="false"/>
                <w:color w:val="000000"/>
                <w:sz w:val="16"/>
              </w:rPr>
            </w:pPr>
            <w:r>
              <w:rPr>
                <w:rFonts w:ascii="Times New Roman;serif" w:hAnsi="Times New Roman;serif"/>
                <w:b w:val="false"/>
                <w:color w:val="000000"/>
                <w:sz w:val="16"/>
              </w:rPr>
              <w:t>Other noncurrent assets, excluding investments in Non-Obligor Subsidiaries of $55.2 billion at June 30, 2026 and $54.9 billion at December 31, 2025</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9,519 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Selected liability information:</w:t>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73"/>
              <w:jc w:val="left"/>
              <w:rPr>
                <w:rFonts w:ascii="Times New Roman;serif" w:hAnsi="Times New Roman;serif"/>
                <w:b w:val="false"/>
                <w:color w:val="000000"/>
                <w:sz w:val="16"/>
              </w:rPr>
            </w:pPr>
            <w:r>
              <w:rPr>
                <w:rFonts w:ascii="Times New Roman;serif" w:hAnsi="Times New Roman;serif"/>
                <w:b w:val="false"/>
                <w:color w:val="000000"/>
                <w:sz w:val="16"/>
              </w:rPr>
              <w:t>Current portion of Guaranteed Debt, including interest of $552 million at June 30, 2026 and $566 million at December 31, 2025</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payables to Non-Obligor Subsidiaries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Guaranteed Debt, principal only</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33,082 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payables to Non-Obligor Subsidiaries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Mezzanine equity of Obligor Group:</w:t>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units</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summarized income statement information for the combined Obligor Group for the periods indicated (dollars in millions):</w:t>
      </w:r>
    </w:p>
    <w:tbl>
      <w:tblPr>
        <w:tblW w:w="10205" w:type="dxa"/>
        <w:jc w:val="left"/>
        <w:tblInd w:w="0" w:type="dxa"/>
        <w:tblLayout w:type="fixed"/>
        <w:tblCellMar>
          <w:top w:w="28" w:type="dxa"/>
          <w:left w:w="28" w:type="dxa"/>
          <w:bottom w:w="28" w:type="dxa"/>
          <w:right w:w="28" w:type="dxa"/>
        </w:tblCellMar>
      </w:tblPr>
      <w:tblGrid>
        <w:gridCol w:w="2263"/>
        <w:gridCol w:w="1987"/>
        <w:gridCol w:w="1993"/>
        <w:gridCol w:w="354"/>
        <w:gridCol w:w="1007"/>
        <w:gridCol w:w="197"/>
        <w:gridCol w:w="109"/>
        <w:gridCol w:w="109"/>
        <w:gridCol w:w="109"/>
        <w:gridCol w:w="408"/>
        <w:gridCol w:w="1345"/>
        <w:gridCol w:w="324"/>
      </w:tblGrid>
      <w:tr>
        <w:trPr/>
        <w:tc>
          <w:tcPr>
            <w:tcW w:w="2263"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Twelve Months Ended December 31, 2025</w:t>
            </w:r>
          </w:p>
        </w:tc>
      </w:tr>
      <w:tr>
        <w:trPr/>
        <w:tc>
          <w:tcPr>
            <w:tcW w:w="62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Non-Obligor Subsidiaries</w:t>
            </w:r>
          </w:p>
        </w:tc>
        <w:tc>
          <w:tcPr>
            <w:tcW w:w="35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4,748 </w:t>
            </w:r>
          </w:p>
        </w:tc>
        <w:tc>
          <w:tcPr>
            <w:tcW w:w="19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16,128 </w:t>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other sources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12,541 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17,795 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of Obligor Group</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loss of Obligor Group excluding equity in earnings of Non-Obligor Subsidiaries of $3.7 billion for the six months ended June 30, 2026 and $6.9 billion for the twelve months ended December 31, 2025</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Related Party Transactions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For information regarding our related party transactions, see </w:t>
      </w:r>
      <w:r>
        <w:rPr>
          <w:rFonts w:ascii="Times New Roman;serif" w:hAnsi="Times New Roman;serif"/>
          <w:b w:val="false"/>
          <w:color w:val="000000"/>
          <w:sz w:val="20"/>
        </w:rPr>
        <w:t>Note 14</w:t>
      </w:r>
      <w:r>
        <w:rPr>
          <w:color w:val="000000"/>
          <w:shd w:fill="FFFFFF" w:val="clear"/>
        </w:rPr>
        <w:t xml:space="preserve"> </w:t>
      </w:r>
      <w:r>
        <w:rPr>
          <w:rFonts w:ascii="Times New Roman;serif" w:hAnsi="Times New Roman;serif"/>
          <w:b w:val="false"/>
          <w:color w:val="000000"/>
          <w:sz w:val="20"/>
          <w:shd w:fill="FFFFFF" w:val="clear"/>
        </w:rPr>
        <w:t>of the Notes to Unaudited Condensed Consolidated Financial Statements included under Part I, Item 1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QUANTITATIVE AND QUALITATIVE DISCLOSURES</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ABOUT MARKET RISK.</w:t>
      </w:r>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General</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our business operations, we are exposed to certain risks, including changes in interest rates and commodity prices. In order to manage risks associated with assets, liabilities and certain anticipated future transactions, we use derivative instruments such as futures, forward contracts, swaps and other instruments with similar characteristics. Substantially all of our derivatives are used for non-trading activities.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assess the risk associated with each of our derivative instrument portfolios using a sensitivity analysis model. This approach measures the change in fair value of the derivative instrument portfolio based on a hypothetical 10% change in the underlying interest rates or quoted market prices on a particular day. In addition to these variables, the fair value of each portfolio is influenced by changes in the notional amounts of the instruments outstanding. The sensitivity analysis approach does not reflect the impact that the same hypothetical price movement would have on the hedged exposures to which they relate. Therefore, the impact on the fair value of a derivative instrument resulting from a change in interest rates or quoted market prices (as applicable) would normally be offset by a corresponding gain or loss on the hedged debt instrument, inventory value or forecasted transaction assuming: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the derivative instrument functions effectively as a hedge of the underlying risk;</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the derivative instrument is not closed out in advance of its expected term;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the hedged forecasted transaction occurs within the expected time period.</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routinely review the effectiveness of our derivative instrument portfolios in light of current market conditions. Accordingly, the nature and volume of our derivative instruments may change depending on the specific exposure being managed.</w:t>
      </w:r>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Commodity Hedging Activities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price of energy commodities such as natural gas, NGLs, crude oil, petrochemicals and refined products and power are subject to fluctuations in response to changes in supply and demand, market conditions and a variety of additional factors that are beyond our control. In order to manage such price risks, we enter into commodity derivative instruments such as physical forward contracts, futures contracts, fixed-for-float swaps and basis swaps.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At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our predominant commodity hedging strategies consisted of (i) hedging anticipated future purchases and sales of commodity products associated with transportation, storage and blending activities, (ii) hedging natural gas processing margins, (iii) hedging the fair value of commodity products held in inventory and (iv) hedging anticipated future purchases of power for certain operations in Southeast Texas. For a summary of our portfolio of commodity derivative instruments outstanding, see </w:t>
      </w:r>
      <w:r>
        <w:rPr>
          <w:rFonts w:ascii="Times New Roman;serif" w:hAnsi="Times New Roman;serif"/>
          <w:b w:val="false"/>
          <w:color w:val="000000"/>
          <w:sz w:val="20"/>
        </w:rPr>
        <w:t>Note 13</w:t>
      </w:r>
      <w:r>
        <w:rPr>
          <w:color w:val="000000"/>
          <w:shd w:fill="FFFFFF" w:val="clear"/>
        </w:rPr>
        <w:t xml:space="preserve"> </w:t>
      </w:r>
      <w:r>
        <w:rPr>
          <w:rFonts w:ascii="Times New Roman;serif" w:hAnsi="Times New Roman;serif"/>
          <w:b w:val="false"/>
          <w:color w:val="000000"/>
          <w:sz w:val="20"/>
          <w:shd w:fill="FFFFFF" w:val="clear"/>
        </w:rPr>
        <w:t>of the Notes to Unaudited Condensed Consolidated Financial Statements included under Part I, Item 1 of this quarterly report.</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Sensitivity Analysis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show the effect of hypothetical price movements on the estimated fair values of our principal commodity derivative instrument portfolios at the dates indicated (dollars in millions).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information presented in the sensitivity analysis tables excludes the impact of applying Chicago Mercantile Exchange (“CME”) Rule 814, which deems that financial instruments cleared by the CME are settled daily in connection with variation margin payments. As a result of this exchange rule, CME-related derivatives are considered to have no fair value at the balance sheet date for financial reporting purposes;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Natural gas marketing portfolio</w:t>
      </w:r>
    </w:p>
    <w:tbl>
      <w:tblPr>
        <w:tblW w:w="10205" w:type="dxa"/>
        <w:jc w:val="left"/>
        <w:tblInd w:w="0" w:type="dxa"/>
        <w:tblLayout w:type="fixed"/>
        <w:tblCellMar>
          <w:top w:w="28" w:type="dxa"/>
          <w:left w:w="28" w:type="dxa"/>
          <w:bottom w:w="28" w:type="dxa"/>
          <w:right w:w="28" w:type="dxa"/>
        </w:tblCellMar>
      </w:tblPr>
      <w:tblGrid>
        <w:gridCol w:w="1687"/>
        <w:gridCol w:w="1484"/>
        <w:gridCol w:w="1499"/>
        <w:gridCol w:w="393"/>
        <w:gridCol w:w="393"/>
        <w:gridCol w:w="395"/>
        <w:gridCol w:w="109"/>
        <w:gridCol w:w="109"/>
        <w:gridCol w:w="109"/>
        <w:gridCol w:w="455"/>
        <w:gridCol w:w="770"/>
        <w:gridCol w:w="256"/>
        <w:gridCol w:w="109"/>
        <w:gridCol w:w="109"/>
        <w:gridCol w:w="109"/>
        <w:gridCol w:w="234"/>
        <w:gridCol w:w="396"/>
        <w:gridCol w:w="130"/>
        <w:gridCol w:w="109"/>
        <w:gridCol w:w="109"/>
        <w:gridCol w:w="109"/>
        <w:gridCol w:w="324"/>
        <w:gridCol w:w="548"/>
        <w:gridCol w:w="260"/>
      </w:tblGrid>
      <w:tr>
        <w:trPr/>
        <w:tc>
          <w:tcPr>
            <w:tcW w:w="168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Portfolio Fair Value at</w:t>
            </w:r>
          </w:p>
        </w:tc>
      </w:tr>
      <w:tr>
        <w:trPr/>
        <w:tc>
          <w:tcPr>
            <w:tcW w:w="4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Scenario</w:t>
            </w:r>
          </w:p>
        </w:tc>
        <w:tc>
          <w:tcPr>
            <w:tcW w:w="11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Resulting</w:t>
              <w:b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15, 2026</w:t>
            </w:r>
          </w:p>
        </w:tc>
      </w:tr>
      <w:tr>
        <w:trPr/>
        <w:tc>
          <w:tcPr>
            <w:tcW w:w="467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assuming no change in underlying commodity prices</w:t>
            </w:r>
          </w:p>
        </w:tc>
        <w:tc>
          <w:tcPr>
            <w:tcW w:w="118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Asset (Liability)</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3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6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assuming 10% increase in underlying commodity prices</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Asset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assuming 10% decrease in underlying commodity prices</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Asset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NGL, petrochemical and refined products marketing, natural gas processing and octane enhancement portfolio</w:t>
      </w:r>
    </w:p>
    <w:tbl>
      <w:tblPr>
        <w:tblW w:w="10205" w:type="dxa"/>
        <w:jc w:val="left"/>
        <w:tblInd w:w="0" w:type="dxa"/>
        <w:tblLayout w:type="fixed"/>
        <w:tblCellMar>
          <w:top w:w="28" w:type="dxa"/>
          <w:left w:w="28" w:type="dxa"/>
          <w:bottom w:w="28" w:type="dxa"/>
          <w:right w:w="28" w:type="dxa"/>
        </w:tblCellMar>
      </w:tblPr>
      <w:tblGrid>
        <w:gridCol w:w="1687"/>
        <w:gridCol w:w="1484"/>
        <w:gridCol w:w="1499"/>
        <w:gridCol w:w="393"/>
        <w:gridCol w:w="393"/>
        <w:gridCol w:w="395"/>
        <w:gridCol w:w="109"/>
        <w:gridCol w:w="109"/>
        <w:gridCol w:w="109"/>
        <w:gridCol w:w="455"/>
        <w:gridCol w:w="770"/>
        <w:gridCol w:w="256"/>
        <w:gridCol w:w="109"/>
        <w:gridCol w:w="109"/>
        <w:gridCol w:w="109"/>
        <w:gridCol w:w="210"/>
        <w:gridCol w:w="434"/>
        <w:gridCol w:w="116"/>
        <w:gridCol w:w="109"/>
        <w:gridCol w:w="109"/>
        <w:gridCol w:w="109"/>
        <w:gridCol w:w="292"/>
        <w:gridCol w:w="605"/>
        <w:gridCol w:w="235"/>
      </w:tblGrid>
      <w:tr>
        <w:trPr/>
        <w:tc>
          <w:tcPr>
            <w:tcW w:w="168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Portfolio Fair Value at</w:t>
            </w:r>
          </w:p>
        </w:tc>
      </w:tr>
      <w:tr>
        <w:trPr/>
        <w:tc>
          <w:tcPr>
            <w:tcW w:w="4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Scenario</w:t>
            </w:r>
          </w:p>
        </w:tc>
        <w:tc>
          <w:tcPr>
            <w:tcW w:w="11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Resulting</w:t>
              <w:b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15, 2026</w:t>
            </w:r>
          </w:p>
        </w:tc>
      </w:tr>
      <w:tr>
        <w:trPr/>
        <w:tc>
          <w:tcPr>
            <w:tcW w:w="467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assuming no change in underlying commodity prices</w:t>
            </w:r>
          </w:p>
        </w:tc>
        <w:tc>
          <w:tcPr>
            <w:tcW w:w="118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Asset (Liability)</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1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3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assuming 10% increase in underlying commodity prices</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Asset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assuming 10% decrease in underlying commodity prices</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Asset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Crude oil marketing portfolio</w:t>
      </w:r>
    </w:p>
    <w:tbl>
      <w:tblPr>
        <w:tblW w:w="10205" w:type="dxa"/>
        <w:jc w:val="left"/>
        <w:tblInd w:w="0" w:type="dxa"/>
        <w:tblLayout w:type="fixed"/>
        <w:tblCellMar>
          <w:top w:w="28" w:type="dxa"/>
          <w:left w:w="28" w:type="dxa"/>
          <w:bottom w:w="28" w:type="dxa"/>
          <w:right w:w="28" w:type="dxa"/>
        </w:tblCellMar>
      </w:tblPr>
      <w:tblGrid>
        <w:gridCol w:w="1686"/>
        <w:gridCol w:w="1484"/>
        <w:gridCol w:w="1498"/>
        <w:gridCol w:w="393"/>
        <w:gridCol w:w="393"/>
        <w:gridCol w:w="395"/>
        <w:gridCol w:w="109"/>
        <w:gridCol w:w="109"/>
        <w:gridCol w:w="109"/>
        <w:gridCol w:w="398"/>
        <w:gridCol w:w="857"/>
        <w:gridCol w:w="225"/>
        <w:gridCol w:w="109"/>
        <w:gridCol w:w="109"/>
        <w:gridCol w:w="109"/>
        <w:gridCol w:w="210"/>
        <w:gridCol w:w="434"/>
        <w:gridCol w:w="116"/>
        <w:gridCol w:w="109"/>
        <w:gridCol w:w="109"/>
        <w:gridCol w:w="109"/>
        <w:gridCol w:w="262"/>
        <w:gridCol w:w="661"/>
        <w:gridCol w:w="212"/>
      </w:tblGrid>
      <w:tr>
        <w:trPr/>
        <w:tc>
          <w:tcPr>
            <w:tcW w:w="168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Portfolio Fair Value at</w:t>
            </w:r>
          </w:p>
        </w:tc>
      </w:tr>
      <w:tr>
        <w:trPr/>
        <w:tc>
          <w:tcPr>
            <w:tcW w:w="4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Scenario</w:t>
            </w:r>
          </w:p>
        </w:tc>
        <w:tc>
          <w:tcPr>
            <w:tcW w:w="11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Resulting</w:t>
              <w:b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15, 2026</w:t>
            </w:r>
          </w:p>
        </w:tc>
      </w:tr>
      <w:tr>
        <w:trPr/>
        <w:tc>
          <w:tcPr>
            <w:tcW w:w="4668"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assuming no change in underlying commodity prices</w:t>
            </w:r>
          </w:p>
        </w:tc>
        <w:tc>
          <w:tcPr>
            <w:tcW w:w="118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Asset (Liability)</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2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1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21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assuming 10% increase in underlying commodity prices</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Asset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assuming 10% decrease in underlying commodity prices</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Asset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Commercial energy derivative portfolio</w:t>
      </w:r>
    </w:p>
    <w:tbl>
      <w:tblPr>
        <w:tblW w:w="10205" w:type="dxa"/>
        <w:jc w:val="left"/>
        <w:tblInd w:w="0" w:type="dxa"/>
        <w:tblLayout w:type="fixed"/>
        <w:tblCellMar>
          <w:top w:w="28" w:type="dxa"/>
          <w:left w:w="28" w:type="dxa"/>
          <w:bottom w:w="28" w:type="dxa"/>
          <w:right w:w="28" w:type="dxa"/>
        </w:tblCellMar>
      </w:tblPr>
      <w:tblGrid>
        <w:gridCol w:w="1687"/>
        <w:gridCol w:w="1484"/>
        <w:gridCol w:w="1499"/>
        <w:gridCol w:w="393"/>
        <w:gridCol w:w="393"/>
        <w:gridCol w:w="395"/>
        <w:gridCol w:w="109"/>
        <w:gridCol w:w="109"/>
        <w:gridCol w:w="109"/>
        <w:gridCol w:w="530"/>
        <w:gridCol w:w="653"/>
        <w:gridCol w:w="297"/>
        <w:gridCol w:w="109"/>
        <w:gridCol w:w="109"/>
        <w:gridCol w:w="109"/>
        <w:gridCol w:w="210"/>
        <w:gridCol w:w="434"/>
        <w:gridCol w:w="116"/>
        <w:gridCol w:w="109"/>
        <w:gridCol w:w="109"/>
        <w:gridCol w:w="109"/>
        <w:gridCol w:w="292"/>
        <w:gridCol w:w="605"/>
        <w:gridCol w:w="236"/>
      </w:tblGrid>
      <w:tr>
        <w:trPr/>
        <w:tc>
          <w:tcPr>
            <w:tcW w:w="168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Portfolio Fair Value at</w:t>
            </w:r>
          </w:p>
        </w:tc>
      </w:tr>
      <w:tr>
        <w:trPr/>
        <w:tc>
          <w:tcPr>
            <w:tcW w:w="4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Scenario</w:t>
            </w:r>
          </w:p>
        </w:tc>
        <w:tc>
          <w:tcPr>
            <w:tcW w:w="11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Resulting</w:t>
              <w:b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15, 2026</w:t>
            </w:r>
          </w:p>
        </w:tc>
      </w:tr>
      <w:tr>
        <w:trPr/>
        <w:tc>
          <w:tcPr>
            <w:tcW w:w="467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assuming no change in underlying commodity prices</w:t>
            </w:r>
          </w:p>
        </w:tc>
        <w:tc>
          <w:tcPr>
            <w:tcW w:w="118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Asset (Liability)</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9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1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3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assuming 10% increase in underlying commodity prices</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Asset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assuming 10% decrease in underlying commodity prices</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Asset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Interest Rate Hedging Activities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utilize interest rate swaps, forward-starting swaps, options to enter into forward-starting swaps (“swaptions”), treasury locks and similar derivative instruments to manage our exposure to changes in interest rates charged on borrowings under certain consolidated debt agreements. This strategy may be used in controlling our overall cost of capital associated with such borrowings. As of the filing date of this quarterly report, we do not have any interest rate hedging instruments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CONTROLS AND PROCEDURES.</w:t>
      </w:r>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Disclosure Controls and Procedures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the end of the period covered by this quarterly report, our management carried out an evaluation, with the participation of (i) A. James Teague, Co-Chief Executive Officer of Enterprise GP, (ii) W. Randall Fowler, Co-Chief Executive Officer of Enterprise GP and (iii) R. Daniel Boss, Executive Vice President and Chief Financial Officer of Enterprise GP, of the effectiveness of our disclosure controls and procedures pursuant to Rule 13a-15 of the Securities Exchange Act of 1934. Based on this evaluation, as of the end of the period covered by this quarterly report, Messrs. Teague, Fowler and Boss concluded: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(i)that our disclosure controls and procedures are designed to ensure that information required to be disclosed by us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financial officers, as appropriate to allow for timely decisions regarding required disclosures;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(ii)that our disclosure controls and procedures are effective.</w:t>
      </w:r>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Changes in Internal Control over Financial Reporting</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There were no changes in our internal controls over financial reporting (as defined in Rule 13a-15(f) under the Securities Exchange Act of 1934) during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that have materially affected, or are reasonably likely to materially affect, our internal controls over financial reporting. </w:t>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and 906 Certifications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required certifications of Messrs. Teague, Fowler and Boss under Sections 302 and 906 of the Sarbanes-Oxley Act of 2002 are included as exhibits to this quarterly report (see Exhibits 31 and 32 under Part II, Item 6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ITEM 1. LEGAL PROCEEDINGS.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part of our normal business activities, we may be named as defendants in litigation and legal proceedings, including those arising from regulatory and environmental matters. Although we are insured against various risks to the extent we believe it is prudent, there is no assurance that the nature and amount of such insurance will be adequate, in every case, to indemnify us against liabilities arising from future legal proceedings. We will vigorously defend the Partnership in litigation matters.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For additional information regarding our litigation matters, see </w:t>
      </w:r>
      <w:r>
        <w:rPr>
          <w:rFonts w:ascii="Times New Roman;serif" w:hAnsi="Times New Roman;serif"/>
          <w:b w:val="false"/>
          <w:color w:val="000000"/>
          <w:sz w:val="20"/>
        </w:rPr>
        <w:t>Note 16</w:t>
      </w:r>
      <w:r>
        <w:rPr>
          <w:color w:val="000000"/>
          <w:shd w:fill="FFFFFF" w:val="clear"/>
        </w:rPr>
        <w:t xml:space="preserve"> </w:t>
      </w:r>
      <w:r>
        <w:rPr>
          <w:rFonts w:ascii="Times New Roman;serif" w:hAnsi="Times New Roman;serif"/>
          <w:b w:val="false"/>
          <w:color w:val="000000"/>
          <w:sz w:val="20"/>
          <w:shd w:fill="FFFFFF" w:val="clear"/>
        </w:rPr>
        <w:t>of the Notes to Unaudited Condensed Consolidated Financial Statements included under Part I, Item 1 of this quarterly report.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occasion, we are assessed monetary penalties by governmental authorities related to administrative or judicial proceedings involving environmental matters. The following information summarizes matters where the eventual resolution of each of these matters may result in monetary sanctions in excess of $0.3 million. We do not expect that any expenditures related to the following matters will be material to our consolidated financial statements.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 xml:space="preserve">In June 2019, we received a Notice of Violation from the U.S. Environmental Protection Agency (“EPA”) in connection with regulatory requirements applicable to facilities that we operate near Baton Rouge, Louisiana.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In August 2022, we received a Notice of Violation from the U.S. EPA alleging that gasoline at two of our refined products terminals in Texas had exceeded certain Clean Air Act-related standards during two past regulatory control periods.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shd w:fill="FFFFFF" w:val="clear"/>
        </w:rPr>
        <w:t>In November 2024 and January 2025, we received notices that the New Mexico Environment Department intended to pursue enforcement for alleged exceedances of emission limits, and alleged associated late emissions reports, at our recently acquired Pinon Midstream treating facility and compressor station on various occasions from 2021 through October 2024 (prior to our acquisition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ITEM 1A. RISK FACTORS.</w:t>
      </w:r>
    </w:p>
    <w:p>
      <w:pPr>
        <w:pStyle w:val="TextBody"/>
        <w:bidi w:val="0"/>
        <w:spacing w:lineRule="auto" w:line="288" w:before="0" w:after="240"/>
        <w:jc w:val="both"/>
        <w:rPr/>
      </w:pPr>
      <w:r>
        <w:rPr>
          <w:rFonts w:ascii="Times New Roman;serif" w:hAnsi="Times New Roman;serif"/>
          <w:b w:val="false"/>
          <w:color w:val="000000"/>
          <w:sz w:val="20"/>
          <w:shd w:fill="FFFFFF" w:val="clear"/>
        </w:rPr>
        <w:t>An investment in our securities involves certain risks. Security holders and potential investors in our securities should carefully consider the risks described under “</w:t>
      </w:r>
      <w:r>
        <w:rPr>
          <w:rFonts w:ascii="Times New Roman;serif" w:hAnsi="Times New Roman;serif"/>
          <w:b w:val="false"/>
          <w:i/>
          <w:color w:val="000000"/>
          <w:sz w:val="20"/>
          <w:shd w:fill="FFFFFF" w:val="clear"/>
        </w:rPr>
        <w:t>Risk Factors</w:t>
      </w:r>
      <w:r>
        <w:rPr>
          <w:color w:val="000000"/>
          <w:shd w:fill="FFFFFF" w:val="clear"/>
        </w:rPr>
        <w:t xml:space="preserve">” </w:t>
      </w:r>
      <w:r>
        <w:rPr>
          <w:rFonts w:ascii="Times New Roman;serif" w:hAnsi="Times New Roman;serif"/>
          <w:b w:val="false"/>
          <w:color w:val="000000"/>
          <w:sz w:val="20"/>
          <w:shd w:fill="FFFFFF" w:val="clear"/>
        </w:rPr>
        <w:t xml:space="preserve">set forth in Part I, Item 1A of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Form 10-K, in addition to other information in such annual report and this quarterly report. The risk factors set forth in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Form 10-K are important factors that could cause our actual results to differ materially from those contained in any written or oral forward-looking statements made by us or on our behalf.</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Recent Issuances of Unregistered Securities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of our Series A Cumulative Convertible Preferred Units (“preferred units”) are entitled to receive cumulative quarterly distributions at a rate of 7.25% per annum. We may satisfy our obligation to pay distributions to the preferred unitholders through the issuance, in whole or in part, of additional preferred units (referred to as paid-in-kind or “PIK” distributions), with the remainder in cash, subject to certain rights of a holder to elect all cash and other conditions as described in our partnership agreement.</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The Partnership made quarterly PIK distributions to preferred unitholders in the first and second quarters 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of 22,424 and 22,831 preferred unit</w:t>
      </w:r>
      <w:r>
        <w:rPr>
          <w:rFonts w:ascii="Times New Roman;serif" w:hAnsi="Times New Roman;serif"/>
          <w:b w:val="false"/>
          <w:color w:val="000000"/>
          <w:sz w:val="20"/>
        </w:rPr>
        <w:t xml:space="preserve">s, respectively. All </w:t>
      </w:r>
      <w:r>
        <w:rPr>
          <w:rFonts w:ascii="Times New Roman;serif" w:hAnsi="Times New Roman;serif"/>
          <w:b w:val="false"/>
          <w:color w:val="000000"/>
          <w:sz w:val="20"/>
          <w:shd w:fill="FFFFFF" w:val="clear"/>
        </w:rPr>
        <w:t xml:space="preserve">PIK distributions made during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were to OTA Holdings, Inc. (“OTA”), an indirect, wholly owned subsidiary of the Partnership. The preferred units held by OTA are accounted for as treasury units in consolidation. For additional information regarding the preferred units, see </w:t>
      </w:r>
      <w:r>
        <w:rPr>
          <w:rFonts w:ascii="Times New Roman;serif" w:hAnsi="Times New Roman;serif"/>
          <w:b w:val="false"/>
          <w:color w:val="000000"/>
          <w:sz w:val="20"/>
        </w:rPr>
        <w:t>Note 8</w:t>
      </w:r>
      <w:r>
        <w:rPr>
          <w:color w:val="000000"/>
          <w:shd w:fill="FFFFFF" w:val="clear"/>
        </w:rPr>
        <w:t xml:space="preserve"> </w:t>
      </w:r>
      <w:r>
        <w:rPr>
          <w:rFonts w:ascii="Times New Roman;serif" w:hAnsi="Times New Roman;serif"/>
          <w:b w:val="false"/>
          <w:color w:val="000000"/>
          <w:sz w:val="20"/>
          <w:shd w:fill="FFFFFF" w:val="clear"/>
        </w:rPr>
        <w:t>of the Notes to Unaudited Condensed Consolidated Financial Statements included under Part I, Item 1 of this quarterly report.</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The issuances of preferred units as PIK distributions during the </w:t>
      </w:r>
      <w:r>
        <w:rPr>
          <w:rFonts w:ascii="Times New Roman;serif" w:hAnsi="Times New Roman;serif"/>
          <w:b w:val="false"/>
          <w:color w:val="000000"/>
          <w:sz w:val="20"/>
        </w:rPr>
        <w:t>three and six months ended June 30, 2026</w:t>
      </w:r>
      <w:r>
        <w:rPr>
          <w:color w:val="000000"/>
          <w:shd w:fill="FFFFFF" w:val="clear"/>
        </w:rPr>
        <w:t xml:space="preserve"> </w:t>
      </w:r>
      <w:r>
        <w:rPr>
          <w:rFonts w:ascii="Times New Roman;serif" w:hAnsi="Times New Roman;serif"/>
          <w:b w:val="false"/>
          <w:color w:val="000000"/>
          <w:sz w:val="20"/>
          <w:shd w:fill="FFFFFF" w:val="clear"/>
        </w:rPr>
        <w:t>were undertaken in reliance upon an exemption from the registration requirements of the Securities Act of 1933, as amended, pursuant to Section 4(a)(2) thereof.</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Other than as described above, there were no sales of unregistered equity securities during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w:t>
      </w:r>
    </w:p>
    <w:p>
      <w:pPr>
        <w:pStyle w:val="TextBody"/>
        <w:bidi w:val="0"/>
        <w:spacing w:lineRule="auto" w:line="288" w:before="0" w:after="24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Issuer Purchases of Equity Securities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The following table summarizes our equity repurchase activity during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w:t>
      </w:r>
    </w:p>
    <w:tbl>
      <w:tblPr>
        <w:tblW w:w="9470" w:type="dxa"/>
        <w:jc w:val="left"/>
        <w:tblInd w:w="0" w:type="dxa"/>
        <w:tblLayout w:type="fixed"/>
        <w:tblCellMar>
          <w:top w:w="28" w:type="dxa"/>
          <w:left w:w="28" w:type="dxa"/>
          <w:bottom w:w="28" w:type="dxa"/>
          <w:right w:w="28" w:type="dxa"/>
        </w:tblCellMar>
      </w:tblPr>
      <w:tblGrid>
        <w:gridCol w:w="859"/>
        <w:gridCol w:w="756"/>
        <w:gridCol w:w="769"/>
        <w:gridCol w:w="109"/>
        <w:gridCol w:w="109"/>
        <w:gridCol w:w="109"/>
        <w:gridCol w:w="374"/>
        <w:gridCol w:w="374"/>
        <w:gridCol w:w="376"/>
        <w:gridCol w:w="109"/>
        <w:gridCol w:w="109"/>
        <w:gridCol w:w="109"/>
        <w:gridCol w:w="196"/>
        <w:gridCol w:w="556"/>
        <w:gridCol w:w="109"/>
        <w:gridCol w:w="109"/>
        <w:gridCol w:w="109"/>
        <w:gridCol w:w="109"/>
        <w:gridCol w:w="379"/>
        <w:gridCol w:w="379"/>
        <w:gridCol w:w="381"/>
        <w:gridCol w:w="109"/>
        <w:gridCol w:w="109"/>
        <w:gridCol w:w="109"/>
        <w:gridCol w:w="426"/>
        <w:gridCol w:w="1894"/>
        <w:gridCol w:w="334"/>
      </w:tblGrid>
      <w:tr>
        <w:trPr/>
        <w:tc>
          <w:tcPr>
            <w:tcW w:w="8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w:t>
              <w:br/>
              <w:t>of Units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w:t>
              <w:br/>
              <w:t>Of Units</w:t>
              <w:br/>
              <w:t>Purchased</w:t>
              <w:br/>
              <w:t>as Part of</w:t>
              <w:br/>
              <w:t>2019 Buyback</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 Amount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Units That May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Be Purchased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Under the 2019 Buyback Program</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thousands)</w:t>
            </w:r>
          </w:p>
        </w:tc>
      </w:tr>
      <w:tr>
        <w:trPr/>
        <w:tc>
          <w:tcPr>
            <w:tcW w:w="2384"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2019 Buyback Program: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3,447,761 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2,822,059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2,822,059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3,339,679 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1,344,679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1,344,679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3,289,680 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phantom unit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May 2026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June 2026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(1)In January 2019, we announced the 2019 Buyback Program, which authorized the repurchase of up to $2 billion of the Partnership’s common units. In October 2025, we announced that the 2019 Buyback Program was increased to authorize the repurchase of up to $5 billion of the Partnership’s common units. After giving effect to this increase, the remaining available capacity under the 2019 Buyback Program is $3.3 billion. Units repurchased under this program are cancelled immediately upon acquisition.</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(2)Of the 168,645 phantom unit awards that vested in May 2026 and converted to common units, 46,906 units were sold back to us by employees to cover related withholding tax requirements. These repurchases are not part of any announced program. We cancelled these units immediately upon acquisition.</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(3)Of the 4,000 phantom unit awards that vested in June 2026 and converted to common units, 103 units were sold back to us by employees to cover related withholding tax requirements. These repurchases are not part of any announced program. We cancelled these units immediately upon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DEFAULTS UPON SENIOR SECURITIES.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MINE SAFETY DISCLOSURES.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OTHER INFORMATION.</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no director or officer (as defined in Rule 16a-1(f) of the Securities Exchange Act of 1934) of Enterprise GP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353"/>
        <w:gridCol w:w="309"/>
        <w:gridCol w:w="310"/>
        <w:gridCol w:w="2705"/>
        <w:gridCol w:w="2682"/>
        <w:gridCol w:w="3846"/>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92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r>
      <w:tr>
        <w:trPr/>
        <w:tc>
          <w:tcPr>
            <w:tcW w:w="97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23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FF"/>
                  <w:sz w:val="20"/>
                  <w:u w:val="single"/>
                </w:rPr>
                <w:t>Merger Agreement, dated as of December 15, 2003, by and among Enterprise Products Partners L.P., Enterprise Products GP, LLC, Enterprise Products Management LLC, GulfTerra Energy Partners, L.P. and GulfTerra Energy Company, L.L.C. (incorporated by reference to Exhibit 2.1 to Form 8-K filed December 15, 2003).</w:t>
              </w:r>
            </w:hyperlink>
          </w:p>
        </w:tc>
      </w:tr>
      <w:tr>
        <w:trPr/>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Amendment No. 1 to Merger Agreement, dated as of August 31, 2004, by and among Enterprise Products Partners L.P., Enterprise Products GP, LLC, Enterprise Products Management LLC, GulfTerra Energy Partners, L.P. and GulfTerra Energy Company, L.L.C. (incorporated by reference to Exhibit 2.1 to Form 8-K filed September 7, 2004).</w:t>
              </w:r>
            </w:hyperlink>
          </w:p>
        </w:tc>
      </w:tr>
      <w:tr>
        <w:trPr/>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Parent Company Agreement, dated as of December 15, 2003, by and among Enterprise Products Partners L.P., Enterprise Products GP, LLC, Enterprise Products GTM, LLC, El Paso Corporation, Sabine River Investors I, L.L.C., Sabine River Investors II, L.L.C., El Paso EPN Investments, L.L.C. and GulfTerra GP Holding Company (incorporated by reference to Exhibit 2.2 to Form 8-K filed December 15, 2003).</w:t>
              </w:r>
            </w:hyperlink>
          </w:p>
        </w:tc>
      </w:tr>
      <w:tr>
        <w:trPr/>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20"/>
                  <w:u w:val="single"/>
                </w:rPr>
                <w:t>Amendment No. 1 to Parent Company Agreement, dated as of April 19, 2004, by and among Enterprise Products Partners L.P., Enterprise Products GP, LLC, Enterprise Products GTM, LLC, El Paso Corporation, Sabine River Investors I, L.L.C., Sabine River Investors II, L.L.C., El Paso EPN Investments, L.L.C. and GulfTerra GP Holding Company (incorporated by reference to Exhibit 2.1 to Form 8-K filed April 21, 2004).</w:t>
              </w:r>
            </w:hyperlink>
          </w:p>
        </w:tc>
      </w:tr>
      <w:tr>
        <w:trPr/>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2.5</w:t>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20"/>
                  <w:u w:val="single"/>
                </w:rPr>
                <w:t xml:space="preserve">Purchase and Sale Agreement (Gas Plants), dated as of December 15, 2003, by and between El Paso Corporation, El Paso Field Services Management, Inc., El Paso Transmission, L.L.C., El Paso Field Services Holding Company and Enterprise Products Operating L.P. (incorporated by reference to Exhibit 2.4 to Form 8-K filed December 15, 2003). </w:t>
              </w:r>
            </w:hyperlink>
          </w:p>
        </w:tc>
      </w:tr>
      <w:tr>
        <w:trPr/>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2.6</w:t>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erif" w:hAnsi="Times New Roman;serif"/>
                  <w:b w:val="false"/>
                  <w:color w:val="0000FF"/>
                  <w:sz w:val="20"/>
                  <w:u w:val="single"/>
                </w:rPr>
                <w:t>Agreement and Plan of Merger, dated as of June 28, 2009, by and among Enterprise Products Partners L.P., Enterprise Products GP, LLC, Enterprise Sub B LLC, TEPPCO Partners, L.P. and Texas Eastern Products Pipeline Company, LLC (incorporated by reference to Exhibit 2.1 to Form 8-K filed June 29, 2009).</w:t>
              </w:r>
            </w:hyperlink>
          </w:p>
        </w:tc>
      </w:tr>
      <w:tr>
        <w:trPr/>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2.7</w:t>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20"/>
                  <w:u w:val="single"/>
                </w:rPr>
                <w:t>Agreement and Plan of Merger, dated as of June 28, 2009, by and among Enterprise Products Partners L.P., Enterprise Products GP, LLC, Enterprise Sub A LLC, TEPPCO Partners, L.P. and Texas Eastern Products Pipeline Company, LLC (incorporated by reference to Exhibit 2.2 to Form 8-K filed June 29, 2009).</w:t>
              </w:r>
            </w:hyperlink>
          </w:p>
        </w:tc>
      </w:tr>
      <w:tr>
        <w:trPr/>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2.8</w:t>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20"/>
                  <w:u w:val="single"/>
                </w:rPr>
                <w:t>Agreement and Plan of Merger, dated as of September 3, 2010, by and among Enterprise Products Partners L.P., Enterprise Products GP, LLC, Enterprise ETE LLC, Enterprise GP Holdings L.P. and EPE Holdings, LLC (incorporated by reference to Exhibit 2.1 to Form 8-K filed September 7, 2010).</w:t>
              </w:r>
            </w:hyperlink>
          </w:p>
        </w:tc>
      </w:tr>
      <w:tr>
        <w:trPr/>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2.9</w:t>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20"/>
                  <w:u w:val="single"/>
                </w:rPr>
                <w:t>Agreement and Plan of Merger, dated as of September 3, 2010, by and among Enterprise Products GP, LLC, Enterprise GP Holdings L.P. and EPE Holdings, LLC (incorporated by reference to Exhibit 2.2 to Form 8-K filed September 7, 2010).</w:t>
              </w:r>
            </w:hyperlink>
          </w:p>
        </w:tc>
      </w:tr>
      <w:tr>
        <w:trPr/>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2.10</w:t>
            </w:r>
          </w:p>
        </w:tc>
        <w:tc>
          <w:tcPr>
            <w:tcW w:w="92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FF"/>
                  <w:sz w:val="20"/>
                  <w:u w:val="single"/>
                </w:rPr>
                <w:t>Contribution Agreement, dated as of September 30, 2010, by and between Enterprise Products Company and Enterprise Products Partners L.P. (incorporated by reference to Exhibit 2.1 to Form 8-K filed October 1, 2010).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74"/>
        <w:gridCol w:w="153"/>
        <w:gridCol w:w="154"/>
        <w:gridCol w:w="2863"/>
        <w:gridCol w:w="2842"/>
        <w:gridCol w:w="401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401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20"/>
                  <w:u w:val="single"/>
                </w:rPr>
                <w:t>Agreement and Plan of Merger, dated as of April 28, 2011, by and among Enterprise Products Partners L.P., Enterprise Products Holdings LLC, EPD MergerCo LLC, Duncan Energy Partners L.P. and DEP Holdings, LLC (incorporated by reference to Exhibit 2.1 to Form 8-K filed April 29, 2011).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2.12</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erif" w:hAnsi="Times New Roman;serif"/>
                  <w:b w:val="false"/>
                  <w:color w:val="0000FF"/>
                  <w:sz w:val="20"/>
                  <w:u w:val="single"/>
                </w:rPr>
                <w:t>Contribution and Purchase Agreement, dated as of October 1, 2014, by and among Enterprise Products Partners L.P., Oiltanking Holding Americas, Inc. and OTB Holdco, LLC (incorporated by reference to Exhibit 2.1 to Form 8-K filed October 1, 2014).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2.13</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erif" w:hAnsi="Times New Roman;serif"/>
                  <w:b w:val="false"/>
                  <w:color w:val="0000FF"/>
                  <w:sz w:val="20"/>
                  <w:u w:val="single"/>
                </w:rPr>
                <w:t>Agreement and Plan of Merger, dated as of November 11, 2014, by and among Enterprise Products Partners L.P., Enterprise Products Holdings LLC, EPOT MergerCo LLC, Oiltanking Partners, L.P. and OTLP GP, LLC (incorporated by reference to Exhibit 2.1 to Form 8-K filed November 12, 2014).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2.14</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Times New Roman;serif" w:hAnsi="Times New Roman;serif"/>
                  <w:b w:val="false"/>
                  <w:color w:val="0000FF"/>
                  <w:sz w:val="20"/>
                  <w:u w:val="single"/>
                </w:rPr>
                <w:t>Amendment No. 1 dated as of June 6, 2018 to Contribution and Purchase Agreement, by and among Enterprise Products Partners L.P., Oiltanking Holding Americas, Inc., Enterprise Products Holdings LLC and Marquard &amp; Bahls, AG (incorporated by reference to Exhibit 2.2 to Form 8-K filed June 12, 2018).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erif" w:hAnsi="Times New Roman;serif"/>
                  <w:b w:val="false"/>
                  <w:color w:val="0000FF"/>
                  <w:sz w:val="20"/>
                  <w:u w:val="single"/>
                </w:rPr>
                <w:t>Certificate of Limited Partnership of Enterprise Products Partners L.P. (incorporated by reference to Exhibit 3.6 to Form 10-Q filed November 9, 2007).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erif" w:hAnsi="Times New Roman;serif"/>
                  <w:b w:val="false"/>
                  <w:color w:val="0000FF"/>
                  <w:sz w:val="20"/>
                  <w:u w:val="single"/>
                </w:rPr>
                <w:t>Certificate of Amendment to Certificate of Limited Partnership of Enterprise Products Partners L.P., filed on November 22, 2010 with the Delaware Secretary of State (incorporated by reference to Exhibit 3.6 to Form 8-K filed November 23, 2010).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Seventh Amended and Restated Agreement of Limited Partnership of Enterprise Products Partners L.P., dated as of September 30, 2020 (incorporated by reference to Exhibit 3.1 to Form 8-K filed October 1, 2020).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erif" w:hAnsi="Times New Roman;serif"/>
                  <w:b w:val="false"/>
                  <w:color w:val="0000FF"/>
                  <w:sz w:val="20"/>
                  <w:u w:val="single"/>
                </w:rPr>
                <w:t>Certificate of Formation of Enterprise Products Holdings LLC (formerly named EPE Holdings, LLC) (incorporated by reference to Exhibit 3.3 to Form S-1/A Registration Statement, Reg. No. 333-124320, filed by Enterprise GP Holdings L.P. on July 22,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erif" w:hAnsi="Times New Roman;serif"/>
                  <w:b w:val="false"/>
                  <w:color w:val="0000FF"/>
                  <w:sz w:val="20"/>
                  <w:u w:val="single"/>
                </w:rPr>
                <w:t>Certificate of Amendment to Certificate of Formation of Enterprise Products Holdings LLC (formerly named EPE Holdings, LLC), filed on November 22, 2010 with the Delaware Secretary of State (incorporated by reference to Exhibit 3.5 to Form 8-K filed November 23, 2010).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erif" w:hAnsi="Times New Roman;serif"/>
                  <w:b w:val="false"/>
                  <w:color w:val="0000FF"/>
                  <w:sz w:val="20"/>
                  <w:u w:val="single"/>
                </w:rPr>
                <w:t>Sixth Amended and Restated Limited Liability Company Agreement of Enterprise Products Holdings LLC dated effective as of August 9, 2022 (incorporated by reference to Exhibit 3.9 to Form 10-Q filed August 9, 2022).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erif" w:hAnsi="Times New Roman;serif"/>
                  <w:b w:val="false"/>
                  <w:color w:val="0000FF"/>
                  <w:sz w:val="20"/>
                  <w:u w:val="single"/>
                </w:rPr>
                <w:t>Company Agreement of Enterprise Products Operating LLC dated June 30, 2007 (incorporated by reference to Exhibit 3.3 to Form 10-Q filed August 8, 2007).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erif" w:hAnsi="Times New Roman;serif"/>
                  <w:b w:val="false"/>
                  <w:color w:val="0000FF"/>
                  <w:sz w:val="20"/>
                  <w:u w:val="single"/>
                </w:rPr>
                <w:t>Certificate of Incorporation of Enterprise Products OLPGP, Inc., dated December 3, 2003 (incorporated by reference to Exhibit 3.5 to Form S-4 Registration Statement, Reg. No. 333-121665, filed December 27, 2004).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erif" w:hAnsi="Times New Roman;serif"/>
                  <w:b w:val="false"/>
                  <w:color w:val="0000FF"/>
                  <w:sz w:val="20"/>
                  <w:u w:val="single"/>
                </w:rPr>
                <w:t>Bylaws of Enterprise Products OLPGP, Inc., dated December 8, 2003 (incorporated by reference to Exhibit 3.6 to Form S-4 Registration Statement, Reg. No. 333-121665, filed December 27, 2004).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erif" w:hAnsi="Times New Roman;serif"/>
                  <w:b w:val="false"/>
                  <w:color w:val="0000FF"/>
                  <w:sz w:val="20"/>
                  <w:u w:val="single"/>
                </w:rPr>
                <w:t>Form of Common Unit certificate (incorporated by reference to Exhibit A to Exhibit 3.1 to Form 8-K filed October 1, 2020).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erif" w:hAnsi="Times New Roman;serif"/>
                  <w:b w:val="false"/>
                  <w:color w:val="0000FF"/>
                  <w:sz w:val="20"/>
                  <w:u w:val="single"/>
                </w:rPr>
                <w:t>Description of the Registrant’s Securities Registered Pursuant to Section 12 of the Securities Exchange Act of 1934 (incorporated by reference to Exhibit 4.2 to Form 10-K filed February 28, 2020).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erif" w:hAnsi="Times New Roman;serif"/>
                  <w:b w:val="false"/>
                  <w:color w:val="0000FF"/>
                  <w:sz w:val="20"/>
                  <w:u w:val="single"/>
                </w:rPr>
                <w:t>Indenture, dated as of March 15, 2000, among Enterprise Products Operating L.P., as Issuer, Enterprise Products Partners L.P., as Guarantor, and First Union National Bank, as Trustee (incorporated by reference to Exhibit 4.1 to Form 8-K filed March 14, 2000).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erif" w:hAnsi="Times New Roman;serif"/>
                  <w:b w:val="false"/>
                  <w:color w:val="0000FF"/>
                  <w:sz w:val="20"/>
                  <w:u w:val="single"/>
                </w:rPr>
                <w:t>Second Supplemental Indenture, dated as of February 14, 2003, among Enterprise Products Operating L.P., as Issuer, Enterprise Products Partners L.P., as Guarantor, and Wachovia Bank, National Association, as Trustee (incorporated by reference to Exhibit 4.3 to Form 10-K filed March 31, 2003).</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erif" w:hAnsi="Times New Roman;serif"/>
                  <w:b w:val="false"/>
                  <w:color w:val="0000FF"/>
                  <w:sz w:val="20"/>
                  <w:u w:val="single"/>
                </w:rPr>
                <w:t>Third Supplemental Indenture, dated as of June 30, 2007, among Enterprise Products Operating L.P., as Original Issuer, Enterprise Products Partners L.P., as Parent Guarantor, Enterprise Products Operating LLC, as New Issuer, and U.S. Bank National Association, as successor Trustee (incorporated by reference to Exhibit 4.55 to Form 10-Q filed August 8, 2007).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erif" w:hAnsi="Times New Roman;serif"/>
                  <w:b w:val="false"/>
                  <w:color w:val="0000FF"/>
                  <w:sz w:val="20"/>
                  <w:u w:val="single"/>
                </w:rPr>
                <w:t>Indenture, dated as of October 4, 2004, among Enterprise Products Operating L.P., as Issuer, Enterprise Products Partners L.P., as Parent Guarantor, and Wells Fargo Bank, National Association, as Trustee (incorporated by reference to Exhibit 4.1 to Form 8-K filed October 6, 2004).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73"/>
        <w:gridCol w:w="152"/>
        <w:gridCol w:w="156"/>
        <w:gridCol w:w="2946"/>
        <w:gridCol w:w="2799"/>
        <w:gridCol w:w="3979"/>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397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erif" w:hAnsi="Times New Roman;serif"/>
                  <w:b w:val="false"/>
                  <w:color w:val="0000FF"/>
                  <w:sz w:val="20"/>
                  <w:u w:val="single"/>
                </w:rPr>
                <w:t>Fourth Supplemental Indenture, dated as of October 4, 2004, among Enterprise Products Operating L.P., as Issuer, Enterprise Products Partners L.P., as Parent Guarantor, and Wells Fargo Bank, National Association, as Trustee (incorporated by reference to Exhibit 4.5 to Form 8-K filed October 6, 2004).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erif" w:hAnsi="Times New Roman;serif"/>
                  <w:b w:val="false"/>
                  <w:color w:val="0000FF"/>
                  <w:sz w:val="20"/>
                  <w:u w:val="single"/>
                </w:rPr>
                <w:t>Sixth Supplemental Indenture, dated as of March 2, 2005, among Enterprise Products Operating L.P., as Issuer, Enterprise Products Partners L.P., as Parent Guarantor, and Wells Fargo Bank, National Association, as Trustee (incorporated by reference to Exhibit 4.3 to Form 8-K filed March 3,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erif" w:hAnsi="Times New Roman;serif"/>
                  <w:b w:val="false"/>
                  <w:color w:val="0000FF"/>
                  <w:sz w:val="20"/>
                  <w:u w:val="single"/>
                </w:rPr>
                <w:t>Tenth Supplemental Indenture, dated as of June 30, 2007, among Enterprise Products Operating L.P., as Original Issuer, Enterprise Products Partners L.P., as Parent Guarantor, Enterprise Products Operating LLC, as New Issuer, and Wells Fargo Bank, National Association, as Trustee (incorporated by reference to Exhibit 4.54 to Form 10-Q filed August 8, 2007).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erif" w:hAnsi="Times New Roman;serif"/>
                  <w:b w:val="false"/>
                  <w:color w:val="0000FF"/>
                  <w:sz w:val="20"/>
                  <w:u w:val="single"/>
                </w:rPr>
                <w:t>Sixteenth Supplemental Indenture, dated as of October 5, 2009, among Enterprise Products Operating LLC, as Issuer, Enterprise Products Partners L.P., as Parent Guarantor, and Wells Fargo Bank, National Association, as Trustee (incorporated by reference to Exhibit 4.3 to Form 8-K filed October 5, 2009).</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erif" w:hAnsi="Times New Roman;serif"/>
                  <w:b w:val="false"/>
                  <w:color w:val="0000FF"/>
                  <w:sz w:val="20"/>
                  <w:u w:val="single"/>
                </w:rPr>
                <w:t>Seventeenth Supplemental Indenture, dated as of October 27, 2009, among Enterprise Products Operating LLC, as Issuer, Enterprise Products Partners L.P., as Parent Guarantor, and Wells Fargo Bank, National Association, as Trustee (incorporated by reference to Exhibit 4.1 to Form 8-K filed October 28, 2009).</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erif" w:hAnsi="Times New Roman;serif"/>
                  <w:b w:val="false"/>
                  <w:color w:val="0000FF"/>
                  <w:sz w:val="20"/>
                  <w:u w:val="single"/>
                </w:rPr>
                <w:t>Eighteenth Supplemental Indenture, dated as of October 27, 2009, among Enterprise Products Operating LLC, as Issuer, Enterprise Products Partners L.P., as Parent Guarantor, and Wells Fargo Bank, National Association, as Trustee (incorporated by reference to Exhibit 4.2 to Form 8-K filed October 28, 2009).</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4.13</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erif" w:hAnsi="Times New Roman;serif"/>
                  <w:b w:val="false"/>
                  <w:color w:val="0000FF"/>
                  <w:sz w:val="20"/>
                  <w:u w:val="single"/>
                </w:rPr>
                <w:t>Nineteenth Supplemental Indenture, dated as of May 20, 2010, among Enterprise Products Operating LLC, as Issuer, Enterprise Products Partners L.P., as Parent Guarantor, and Wells Fargo Bank, National Association, as Trustee (incorporated by reference to Exhibit 4.3 to Form 8-K filed May 20, 2010).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4.14</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erif" w:hAnsi="Times New Roman;serif"/>
                  <w:b w:val="false"/>
                  <w:color w:val="0000FF"/>
                  <w:sz w:val="20"/>
                  <w:u w:val="single"/>
                </w:rPr>
                <w:t>Twentieth Supplemental Indenture, dated as of January 13, 2011, among Enterprise Products Operating LLC, as Issuer, Enterprise Products Partners L.P., as Parent Guarantor, and Wells Fargo Bank, National Association, as Trustee (incorporated by reference to Exhibit 4.3 to Form 8-K filed January 13, 2011).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4.15</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Times New Roman;serif" w:hAnsi="Times New Roman;serif"/>
                  <w:b w:val="false"/>
                  <w:color w:val="0000FF"/>
                  <w:sz w:val="20"/>
                  <w:u w:val="single"/>
                </w:rPr>
                <w:t>Twenty-First Supplemental Indenture, dated as of August 24, 2011, among Enterprise Products Operating LLC, as Issuer, Enterprise Products Partners L.P., as Parent Guarantor, and Wells Fargo Bank, National Association, as Trustee (incorporated by reference to Exhibit 4.3 to Form 8-K filed August 24, 2011).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4.16</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0">
              <w:r>
                <w:rPr>
                  <w:rStyle w:val="InternetLink"/>
                  <w:rFonts w:ascii="Times New Roman;serif" w:hAnsi="Times New Roman;serif"/>
                  <w:b w:val="false"/>
                  <w:color w:val="0000FF"/>
                  <w:sz w:val="20"/>
                  <w:u w:val="single"/>
                </w:rPr>
                <w:t>Twenty-Second Supplemental Indenture, dated as of February 15, 2012, among Enterprise Products Operating LLC, as Issuer, Enterprise Products Partners L.P., as Parent Guarantor, and Wells Fargo Bank, National Association, as Trustee (incorporated by reference to Exhibit 4.25 to Form 10-Q filed May 10, 2012).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4.17</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1">
              <w:r>
                <w:rPr>
                  <w:rStyle w:val="InternetLink"/>
                  <w:rFonts w:ascii="Times New Roman;serif" w:hAnsi="Times New Roman;serif"/>
                  <w:b w:val="false"/>
                  <w:color w:val="0000FF"/>
                  <w:sz w:val="20"/>
                  <w:u w:val="single"/>
                </w:rPr>
                <w:t>Twenty-Third Supplemental Indenture, dated as of August 13, 2012, among Enterprise Products Operating LLC, as Issuer, Enterprise Products Partners L.P., as Parent Guarantor, and Wells Fargo Bank, National Association, as Trustee (incorporated by reference to Exhibit 4.3 to Form 8-K filed August 13, 2012).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4.18</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2">
              <w:r>
                <w:rPr>
                  <w:rStyle w:val="InternetLink"/>
                  <w:rFonts w:ascii="Times New Roman;serif" w:hAnsi="Times New Roman;serif"/>
                  <w:b w:val="false"/>
                  <w:color w:val="0000FF"/>
                  <w:sz w:val="20"/>
                  <w:u w:val="single"/>
                </w:rPr>
                <w:t>Twenty-Fourth Supplemental Indenture, dated as of March 18, 2013, among Enterprise Products Operating LLC, as Issuer, Enterprise Products Partners L.P., as Parent Guarantor, and Wells Fargo Bank, National Association, as Trustee (incorporated by reference to Exhibit 4.3 to Form 8-K filed March 18, 2013).</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4.19</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3">
              <w:r>
                <w:rPr>
                  <w:rStyle w:val="InternetLink"/>
                  <w:rFonts w:ascii="Times New Roman;serif" w:hAnsi="Times New Roman;serif"/>
                  <w:b w:val="false"/>
                  <w:color w:val="0000FF"/>
                  <w:sz w:val="20"/>
                  <w:u w:val="single"/>
                </w:rPr>
                <w:t>Twenty-Fifth Supplemental Indenture, dated as of February 12, 2014, among Enterprise Products Operating LLC, as Issuer, Enterprise Products Partners L.P., as Parent Guarantor, and Wells Fargo Bank, National Association, as Trustee (incorporated by reference to Exhibit 4.3 to Form 8-K filed February 12, 2014).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4.20</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4">
              <w:r>
                <w:rPr>
                  <w:rStyle w:val="InternetLink"/>
                  <w:rFonts w:ascii="Times New Roman;serif" w:hAnsi="Times New Roman;serif"/>
                  <w:b w:val="false"/>
                  <w:color w:val="0000FF"/>
                  <w:sz w:val="20"/>
                  <w:u w:val="single"/>
                </w:rPr>
                <w:t>Twenty-Sixth Supplemental Indenture, dated as of October 14, 2014, among Enterprise Products Operating LLC, as Issuer, Enterprise Products Partners L.P., as Parent Guarantor, and Wells Fargo Bank, National Association, as Trustee (incorporated by reference to Exhibit 4.4 to Form 8-K filed October 14, 2014).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4.21</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5">
              <w:r>
                <w:rPr>
                  <w:rStyle w:val="InternetLink"/>
                  <w:rFonts w:ascii="Times New Roman;serif" w:hAnsi="Times New Roman;serif"/>
                  <w:b w:val="false"/>
                  <w:color w:val="0000FF"/>
                  <w:sz w:val="20"/>
                  <w:u w:val="single"/>
                </w:rPr>
                <w:t>Twenty-Seventh Supplemental Indenture, dated as of May 7, 2015, among Enterprise Products Operating LLC, as Issuer, Enterprise Products Partners L.P., as Parent Guarantor, and Wells Fargo Bank, National Association, as Trustee(incorporated by reference to Exhibit 4.3 to Form 8-K filed May 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4.22</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6">
              <w:r>
                <w:rPr>
                  <w:rStyle w:val="InternetLink"/>
                  <w:rFonts w:ascii="Times New Roman;serif" w:hAnsi="Times New Roman;serif"/>
                  <w:b w:val="false"/>
                  <w:color w:val="0000FF"/>
                  <w:sz w:val="20"/>
                  <w:u w:val="single"/>
                </w:rPr>
                <w:t>Twenty-Eighth Supplemental Indenture, dated as of April 13, 2016, among Enterprise Products Operating LLC, as Issuer, Enterprise Products Partners L.P., as Parent Guarantor, and Wells Fargo Bank, National Association, as Trustee (incorporated by reference to Exhibit 4.4 to Form 8-K filed April 13, 2016).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4.23</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7">
              <w:r>
                <w:rPr>
                  <w:rStyle w:val="InternetLink"/>
                  <w:rFonts w:ascii="Times New Roman;serif" w:hAnsi="Times New Roman;serif"/>
                  <w:b w:val="false"/>
                  <w:color w:val="0000FF"/>
                  <w:sz w:val="20"/>
                  <w:u w:val="single"/>
                </w:rPr>
                <w:t>Twenty-Ninth Supplemental Indenture, dated as of August 16, 2017, among Enterprise Products Operating LLC, as Issuer, Enterprise Products Partners L.P., as Parent Guarantor, and Wells Fargo Bank, National Association, as Trustee (incorporated by reference to Exhibit 4.3 to Form 8-K filed August 16, 2017).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74"/>
        <w:gridCol w:w="153"/>
        <w:gridCol w:w="154"/>
        <w:gridCol w:w="2895"/>
        <w:gridCol w:w="2820"/>
        <w:gridCol w:w="40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400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4.24</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8">
              <w:r>
                <w:rPr>
                  <w:rStyle w:val="InternetLink"/>
                  <w:rFonts w:ascii="Times New Roman;serif" w:hAnsi="Times New Roman;serif"/>
                  <w:b w:val="false"/>
                  <w:color w:val="0000FF"/>
                  <w:sz w:val="20"/>
                  <w:u w:val="single"/>
                </w:rPr>
                <w:t>Thirtieth Supplemental Indenture, dated as of February 15, 2018, among Enterprise Products Operating LLC, as Issuer, Enterprise Products Partners L.P., as Parent Guarantor, and Wells Fargo Bank, National Association, as Trustee (incorporated by reference to Exhibit 4.4 to Form 8-K filed February 15, 2018).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4.25</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9">
              <w:r>
                <w:rPr>
                  <w:rStyle w:val="InternetLink"/>
                  <w:rFonts w:ascii="Times New Roman;serif" w:hAnsi="Times New Roman;serif"/>
                  <w:b w:val="false"/>
                  <w:color w:val="0000FF"/>
                  <w:sz w:val="20"/>
                  <w:u w:val="single"/>
                </w:rPr>
                <w:t>Thirty-First Supplemental Indenture, dated as of February 15, 2018, among Enterprise Products Operating LLC, as Issuer, Enterprise Products Partners L.P., as Parent Guarantor, and Wells Fargo Bank, National Association, as Trustee (incorporated by reference to Exhibit 4.3 to Form 8-K filed February 15, 2018).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4.26</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0">
              <w:r>
                <w:rPr>
                  <w:rStyle w:val="InternetLink"/>
                  <w:rFonts w:ascii="Times New Roman;serif" w:hAnsi="Times New Roman;serif"/>
                  <w:b w:val="false"/>
                  <w:color w:val="0000FF"/>
                  <w:sz w:val="20"/>
                  <w:u w:val="single"/>
                </w:rPr>
                <w:t>Thirty-Second Supplemental Indenture, dated as of October 11, 2018, among Enterprise Products Operating LLC, as Issuer, Enterprise Products Partners L.P., as Parent Guarantor, and Wells Fargo Bank, National Association, as Trustee (incorporated by reference to Exhibit 4.3 to Form 8-K filed October 11, 2018).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4.27</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1">
              <w:r>
                <w:rPr>
                  <w:rStyle w:val="InternetLink"/>
                  <w:rFonts w:ascii="Times New Roman;serif" w:hAnsi="Times New Roman;serif"/>
                  <w:b w:val="false"/>
                  <w:color w:val="0000FF"/>
                  <w:sz w:val="20"/>
                  <w:u w:val="single"/>
                </w:rPr>
                <w:t>Thirty-Third Supplemental Indenture, dated as of July 8, 2019, among Enterprise Products Operating LLC, as Issuer, Enterprise Products Partners L.P., as Parent Guarantor, and Wells Fargo Bank, National Association, as Trustee (incorporated by reference to Exhibit 4.3 to Form 8-K filed July 8, 2019).</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4.28</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2">
              <w:r>
                <w:rPr>
                  <w:rStyle w:val="InternetLink"/>
                  <w:rFonts w:ascii="Times New Roman;serif" w:hAnsi="Times New Roman;serif"/>
                  <w:b w:val="false"/>
                  <w:color w:val="0000FF"/>
                  <w:sz w:val="20"/>
                  <w:u w:val="single"/>
                </w:rPr>
                <w:t>Thirty-Fourth Supplemental Indenture, dated as of January 15, 2020, among Enterprise Products Operating LLC, as Issuer, Enterprise Products Partners L.P., as Parent Guarantor, and Wells Fargo Bank, National Association, as Trustee (incorporated by reference to Exhibit 4.3 to Form 8-K filed January 15, 2020).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4.29</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3">
              <w:r>
                <w:rPr>
                  <w:rStyle w:val="InternetLink"/>
                  <w:rFonts w:ascii="Times New Roman;serif" w:hAnsi="Times New Roman;serif"/>
                  <w:b w:val="false"/>
                  <w:color w:val="0000FF"/>
                  <w:sz w:val="20"/>
                  <w:u w:val="single"/>
                </w:rPr>
                <w:t>Thirty-Fifth Supplemental Indenture, dated as of August 7, 2020, among Enterprise Products Operating LLC, as Issuer, Enterprise Products Partners L.P., as Parent Guarantor, and Wells Fargo Bank, National Association, as Trustee (incorporated by reference to Exhibit 4.4 to Form 8-K filed August 7, 2020).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4.30</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4">
              <w:r>
                <w:rPr>
                  <w:rStyle w:val="InternetLink"/>
                  <w:rFonts w:ascii="Times New Roman;serif" w:hAnsi="Times New Roman;serif"/>
                  <w:b w:val="false"/>
                  <w:color w:val="0000FF"/>
                  <w:sz w:val="20"/>
                  <w:u w:val="single"/>
                </w:rPr>
                <w:t>Thirty-Sixth Supplemental Indenture, dated as of September 15, 2021, among Enterprise Products Operating LLC, as Issuer, Enterprise Products Partners L.P., as Parent Guarantor, Wells Fargo Bank, National Association, as Original Trustee, and U.S. Bank National Association, as Series Trustee (incorporated by reference to Exhibit 4.3 to Form 8-K filed September 15, 2021).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4.31</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5">
              <w:r>
                <w:rPr>
                  <w:rStyle w:val="InternetLink"/>
                  <w:rFonts w:ascii="Times New Roman;serif" w:hAnsi="Times New Roman;serif"/>
                  <w:b w:val="false"/>
                  <w:color w:val="0000FF"/>
                  <w:sz w:val="20"/>
                  <w:u w:val="single"/>
                </w:rPr>
                <w:t>Thirty-Seventh Supplemental Indenture, dated as of January 10, 2023, among Enterprise Products Operating LLC, as Issuer, Enterprise Products Partners L.P., as Parent Guarantor, and U.S. Bank Trust Company, National Association, as Series Trustee (incorporated by reference to Exhibit 4.4 to Form 8-K filed January 10, 2023).</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4.32</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6">
              <w:r>
                <w:rPr>
                  <w:rStyle w:val="InternetLink"/>
                  <w:rFonts w:ascii="Times New Roman;serif" w:hAnsi="Times New Roman;serif"/>
                  <w:b w:val="false"/>
                  <w:color w:val="0000FF"/>
                  <w:sz w:val="20"/>
                  <w:u w:val="single"/>
                </w:rPr>
                <w:t>Thirty-Eighth Supplemental Indenture, dated as of January 11, 2024, among Enterprise Products Operating LLC, as Issuer, Enterprise Products Partners L.P., as Parent Guarantor, and U.S. Bank Trust Company, National Association, as Series Trustee (incorporated by reference to Exhibit 4.4 to Form 8-K filed January 11, 2024).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4.33</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7">
              <w:r>
                <w:rPr>
                  <w:rStyle w:val="InternetLink"/>
                  <w:rFonts w:ascii="Times New Roman;serif" w:hAnsi="Times New Roman;serif"/>
                  <w:b w:val="false"/>
                  <w:color w:val="0000FF"/>
                  <w:sz w:val="20"/>
                  <w:u w:val="single"/>
                </w:rPr>
                <w:t>Thirty-Ninth Supplemental Indenture, dated as of August 8, 2024, among Enterprise Products Operating LLC, as Issuer, Enterprise Products Partners L.P., as Parent Guarantor, and U.S. Bank Trust Company, National Association, as Series Trustee (incorporated by reference to Exhibit 4.4 to Form 8-K filed August 8, 2024).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4.34</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8">
              <w:r>
                <w:rPr>
                  <w:rStyle w:val="InternetLink"/>
                  <w:rFonts w:ascii="Times New Roman;serif" w:hAnsi="Times New Roman;serif"/>
                  <w:b w:val="false"/>
                  <w:color w:val="000080"/>
                  <w:sz w:val="20"/>
                  <w:u w:val="single"/>
                </w:rPr>
                <w:t xml:space="preserve">Fortieth Supplemental Indenture, dated as of June </w:t>
              </w:r>
            </w:hyperlink>
            <w:hyperlink r:id="rId59">
              <w:r>
                <w:rPr>
                  <w:rStyle w:val="InternetLink"/>
                  <w:rFonts w:ascii="Times New Roman;serif" w:hAnsi="Times New Roman;serif"/>
                  <w:b w:val="false"/>
                  <w:color w:val="000080"/>
                  <w:sz w:val="20"/>
                  <w:u w:val="single"/>
                </w:rPr>
                <w:t>20, 2025, among Enterprise Products Operating LLC, as Issuer, Enterprise Products Partners L.P., as Parent Guarantor, and U.S. Bank Trust Company, National Association, as Series Trustee (incorporated by reference to Exhibit 4.4 to Form 8-K filed June 20,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4.35</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0">
              <w:r>
                <w:rPr>
                  <w:rStyle w:val="InternetLink"/>
                  <w:rFonts w:ascii="Times New Roman;serif" w:hAnsi="Times New Roman;serif"/>
                  <w:b w:val="false"/>
                  <w:color w:val="0000FF"/>
                  <w:sz w:val="20"/>
                  <w:u w:val="single"/>
                </w:rPr>
                <w:t>Form of Global Note representing $500 million principal amount of 6.875% Series B Senior Notes due 2033 with attached Guarantee (incorporated by reference to Exhibit A to Exhibit 4.3 to Form 10-K filed March 31, 2003).</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4.36</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1">
              <w:r>
                <w:rPr>
                  <w:rStyle w:val="InternetLink"/>
                  <w:rFonts w:ascii="Times New Roman;serif" w:hAnsi="Times New Roman;serif"/>
                  <w:b w:val="false"/>
                  <w:color w:val="0000FF"/>
                  <w:sz w:val="20"/>
                  <w:u w:val="single"/>
                </w:rPr>
                <w:t>Form of Global Note representing $350 million principal amount of 6.65% Series B Senior Notes due 2034 with attached Guarantee (incorporated by reference to Exhibit 4.19 to Form S-3 Registration Statement, Reg. No. 333-123150, filed March 4,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4.37</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2">
              <w:r>
                <w:rPr>
                  <w:rStyle w:val="InternetLink"/>
                  <w:rFonts w:ascii="Times New Roman;serif" w:hAnsi="Times New Roman;serif"/>
                  <w:b w:val="false"/>
                  <w:color w:val="0000FF"/>
                  <w:sz w:val="20"/>
                  <w:u w:val="single"/>
                </w:rPr>
                <w:t>Form of Global Note representing $250 million principal amount of 5.75% Series B Senior Notes due 2035 with attached Guarantee (incorporated by reference to Exhibit 4.32 to Form 10-Q filed November 4,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4.38</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3">
              <w:r>
                <w:rPr>
                  <w:rStyle w:val="InternetLink"/>
                  <w:rFonts w:ascii="Times New Roman;serif" w:hAnsi="Times New Roman;serif"/>
                  <w:b w:val="false"/>
                  <w:color w:val="0000FF"/>
                  <w:sz w:val="20"/>
                  <w:u w:val="single"/>
                </w:rPr>
                <w:t>Form of Global Note representing $600 million principal amount of 6.125% Senior Notes due 2039 with attached Guarantee (incorporated by reference to Exhibit B to Exhibit 4.3 to Form 8-K filed October 5, 2009).</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4.39</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4">
              <w:r>
                <w:rPr>
                  <w:rStyle w:val="InternetLink"/>
                  <w:rFonts w:ascii="Times New Roman;serif" w:hAnsi="Times New Roman;serif"/>
                  <w:b w:val="false"/>
                  <w:color w:val="0000FF"/>
                  <w:sz w:val="20"/>
                  <w:u w:val="single"/>
                </w:rPr>
                <w:t>Form of Global Note representing $399.6 million principal amount of 7.55% Senior Notes due 2038 with attached Guarantee (incorporated by reference to Exhibit E to Exhibit 4.1 to Form 8-K filed October 28, 2009).</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4.40</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5">
              <w:r>
                <w:rPr>
                  <w:rStyle w:val="InternetLink"/>
                  <w:rFonts w:ascii="Times New Roman;serif" w:hAnsi="Times New Roman;serif"/>
                  <w:b w:val="false"/>
                  <w:color w:val="0000FF"/>
                  <w:sz w:val="20"/>
                  <w:u w:val="single"/>
                </w:rPr>
                <w:t>Form of Global Note representing $285.8 million principal amount of Junior Subordinated Notes due 2067 with attached Guarantee (incorporated by reference to Exhibit A to Exhibit 4.2 to Form 8-K filed October 28, 2009).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74"/>
        <w:gridCol w:w="153"/>
        <w:gridCol w:w="154"/>
        <w:gridCol w:w="2848"/>
        <w:gridCol w:w="2848"/>
        <w:gridCol w:w="402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2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4.41</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6">
              <w:r>
                <w:rPr>
                  <w:rStyle w:val="InternetLink"/>
                  <w:rFonts w:ascii="Times New Roman;serif" w:hAnsi="Times New Roman;serif"/>
                  <w:b w:val="false"/>
                  <w:color w:val="0000FF"/>
                  <w:sz w:val="20"/>
                  <w:u w:val="single"/>
                </w:rPr>
                <w:t>Form of Global Note representing $600 million principal amount of 6.45% Senior Notes due 2040 with attached Guarantee (incorporated by reference to Exhibit C to Exhibit 4.3 to Form 8-K filed May 20, 2010).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4.42</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7">
              <w:r>
                <w:rPr>
                  <w:rStyle w:val="InternetLink"/>
                  <w:rFonts w:ascii="Times New Roman;serif" w:hAnsi="Times New Roman;serif"/>
                  <w:b w:val="false"/>
                  <w:color w:val="0000FF"/>
                  <w:sz w:val="20"/>
                  <w:u w:val="single"/>
                </w:rPr>
                <w:t>Form of Global Note representing $750 million principal amount of 5.95% Senior Notes due 2041 with attached Guarantee (incorporated by reference to Exhibit B to Exhibit 4.3 to Form 8-K filed January 13, 2011).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4.43</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8">
              <w:r>
                <w:rPr>
                  <w:rStyle w:val="InternetLink"/>
                  <w:rFonts w:ascii="Times New Roman;serif" w:hAnsi="Times New Roman;serif"/>
                  <w:b w:val="false"/>
                  <w:color w:val="0000FF"/>
                  <w:sz w:val="20"/>
                  <w:u w:val="single"/>
                </w:rPr>
                <w:t>Form of Global Note representing $600 million principal amount of 5.70% Senior Notes due 2042 with attached Guarantee (incorporated by reference to Exhibit B to Exhibit 4.3 to Form 8-K filed August 24, 2011).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4.44</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9">
              <w:r>
                <w:rPr>
                  <w:rStyle w:val="InternetLink"/>
                  <w:rFonts w:ascii="Times New Roman;serif" w:hAnsi="Times New Roman;serif"/>
                  <w:b w:val="false"/>
                  <w:color w:val="0000FF"/>
                  <w:sz w:val="20"/>
                  <w:u w:val="single"/>
                </w:rPr>
                <w:t>Form of Global Note representing $750 million principal amount of 4.85% Senior Notes due 2042 with attached Guarantee (incorporated by reference to Exhibit A to Exhibit 4.25 to Form 10-Q filed May 10, 2012).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4.45</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0">
              <w:r>
                <w:rPr>
                  <w:rStyle w:val="InternetLink"/>
                  <w:rFonts w:ascii="Times New Roman;serif" w:hAnsi="Times New Roman;serif"/>
                  <w:b w:val="false"/>
                  <w:color w:val="0000FF"/>
                  <w:sz w:val="20"/>
                  <w:u w:val="single"/>
                </w:rPr>
                <w:t>Form of Global Note representing $1.1 billion principal amount of 4.45% Senior Notes due 2043 with attached Guarantee (incorporated by reference to Exhibit B to Exhibit 4.3 to Form 8-K filed August 13, 2012).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4.46</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1">
              <w:r>
                <w:rPr>
                  <w:rStyle w:val="InternetLink"/>
                  <w:rFonts w:ascii="Times New Roman;serif" w:hAnsi="Times New Roman;serif"/>
                  <w:b w:val="false"/>
                  <w:color w:val="0000FF"/>
                  <w:sz w:val="20"/>
                  <w:u w:val="single"/>
                </w:rPr>
                <w:t>Form of Global Note representing $1.0 billion principal amount of 4.85% Senior Notes due 2044 with attached Guarantee (incorporated by reference to Exhibit B to Exhibit 4.3 to Form 8-K filed March 18, 2013).</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4.47</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2">
              <w:r>
                <w:rPr>
                  <w:rStyle w:val="InternetLink"/>
                  <w:rFonts w:ascii="Times New Roman;serif" w:hAnsi="Times New Roman;serif"/>
                  <w:b w:val="false"/>
                  <w:color w:val="0000FF"/>
                  <w:sz w:val="20"/>
                  <w:u w:val="single"/>
                </w:rPr>
                <w:t>Form of Global Note representing $1.15 billion principal amount of 5.10% Senior Notes due 2045 with attached Guarantee (incorporated by reference to Exhibit B to Exhibit 4.3 to Form 8-K filed February 12, 2014).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4.48</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3">
              <w:r>
                <w:rPr>
                  <w:rStyle w:val="InternetLink"/>
                  <w:rFonts w:ascii="Times New Roman;serif" w:hAnsi="Times New Roman;serif"/>
                  <w:b w:val="false"/>
                  <w:color w:val="0000FF"/>
                  <w:sz w:val="20"/>
                  <w:u w:val="single"/>
                </w:rPr>
                <w:t>Form of Global Note representing $1.15 billion principal amount of 3.75% Senior Notes due 2025 with attached Guarantee (incorporated by reference to Exhibit B to Exhibit 4.4 to Form 8-K filed October 14, 2014).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4.49</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4">
              <w:r>
                <w:rPr>
                  <w:rStyle w:val="InternetLink"/>
                  <w:rFonts w:ascii="Times New Roman;serif" w:hAnsi="Times New Roman;serif"/>
                  <w:b w:val="false"/>
                  <w:color w:val="0000FF"/>
                  <w:sz w:val="20"/>
                  <w:u w:val="single"/>
                </w:rPr>
                <w:t>Form of Global Note representing $400 million principal amount of 4.95% Senior Notes due 2054 with attached Guarantee (incorporated by reference to Exhibit C to Exhibit 4.4 to Form 8-K filed October 14, 2014).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4.50</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5">
              <w:r>
                <w:rPr>
                  <w:rStyle w:val="InternetLink"/>
                  <w:rFonts w:ascii="Times New Roman;serif" w:hAnsi="Times New Roman;serif"/>
                  <w:b w:val="false"/>
                  <w:color w:val="0000FF"/>
                  <w:sz w:val="20"/>
                  <w:u w:val="single"/>
                </w:rPr>
                <w:t>Form of Global Note representing $400 million principal amount of 4.85% Senior Notes due 2044 with attached Guarantee (incorporated by reference to Exhibit B to Exhibit 4.3 to Form 8-K filed March 18, 2013).</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4.51</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6">
              <w:r>
                <w:rPr>
                  <w:rStyle w:val="InternetLink"/>
                  <w:rFonts w:ascii="Times New Roman;serif" w:hAnsi="Times New Roman;serif"/>
                  <w:b w:val="false"/>
                  <w:color w:val="0000FF"/>
                  <w:sz w:val="20"/>
                  <w:u w:val="single"/>
                </w:rPr>
                <w:t>Form of Global Note representing $875 million principal amount of 3.70% Senior Notes due 2026 with attached Guarantee (incorporated by reference to Exhibit B to Exhibit 4.3 to Form 8-K filed May 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4.52</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7">
              <w:r>
                <w:rPr>
                  <w:rStyle w:val="InternetLink"/>
                  <w:rFonts w:ascii="Times New Roman;serif" w:hAnsi="Times New Roman;serif"/>
                  <w:b w:val="false"/>
                  <w:color w:val="0000FF"/>
                  <w:sz w:val="20"/>
                  <w:u w:val="single"/>
                </w:rPr>
                <w:t>Form of Global Note representing $875 million principal amount of 4.90% Senior Notes due 2046 with attached Guarantee (incorporated by reference to Exhibit C to Exhibit 4.3 to Form 8-K filed May 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4.53</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8">
              <w:r>
                <w:rPr>
                  <w:rStyle w:val="InternetLink"/>
                  <w:rFonts w:ascii="Times New Roman;serif" w:hAnsi="Times New Roman;serif"/>
                  <w:b w:val="false"/>
                  <w:color w:val="0000FF"/>
                  <w:sz w:val="20"/>
                  <w:u w:val="single"/>
                </w:rPr>
                <w:t>Form of Global Note representing $575 million principal amount of 3.95% Senior Notes due 2027 with attached Guarantee (incorporated by reference to Exhibit B to Exhibit 4.4 to Form 8-K filed April 13, 2016).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4.54</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9">
              <w:r>
                <w:rPr>
                  <w:rStyle w:val="InternetLink"/>
                  <w:rFonts w:ascii="Times New Roman;serif" w:hAnsi="Times New Roman;serif"/>
                  <w:b w:val="false"/>
                  <w:color w:val="0000FF"/>
                  <w:sz w:val="20"/>
                  <w:u w:val="single"/>
                </w:rPr>
                <w:t>Form of Global Note representing $100 million principal amount of 4.90% Senior Notes due 2046 with attached Guarantee (incorporated by reference to Exhibit C to Exhibit 4.3 to Form 8-K filed May 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4.55</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0">
              <w:r>
                <w:rPr>
                  <w:rStyle w:val="InternetLink"/>
                  <w:rFonts w:ascii="Times New Roman;serif" w:hAnsi="Times New Roman;serif"/>
                  <w:b w:val="false"/>
                  <w:color w:val="0000FF"/>
                  <w:sz w:val="20"/>
                  <w:u w:val="single"/>
                </w:rPr>
                <w:t>Form of Global Note representing $700 million principal amount of Junior Subordinated Notes D due 2077 with attached Guarantee (incorporated by reference to Exhibit A to Exhibit 4.3 to Form 8-K filed August 16, 2017).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4.56</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1">
              <w:r>
                <w:rPr>
                  <w:rStyle w:val="InternetLink"/>
                  <w:rFonts w:ascii="Times New Roman;serif" w:hAnsi="Times New Roman;serif"/>
                  <w:b w:val="false"/>
                  <w:color w:val="0000FF"/>
                  <w:sz w:val="20"/>
                  <w:u w:val="single"/>
                </w:rPr>
                <w:t>Form of Global Note representing $1.0 billion principal amount of Junior Subordinated Notes E due 2077 with attached Guarantee (incorporated by reference to Exhibit B to Exhibit 4.3 to Form 8-K filed August 16, 2017).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4.57</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2">
              <w:r>
                <w:rPr>
                  <w:rStyle w:val="InternetLink"/>
                  <w:rFonts w:ascii="Times New Roman;serif" w:hAnsi="Times New Roman;serif"/>
                  <w:b w:val="false"/>
                  <w:color w:val="0000FF"/>
                  <w:sz w:val="20"/>
                  <w:u w:val="single"/>
                </w:rPr>
                <w:t>Form of Global Note representing $1.25 billion principal amount of 4.25% Senior Notes due 2048 with attached Guarantee (incorporated by reference to Exhibit B to Exhibit 4.4 to Form 8-K filed February 15, 2018).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4.58</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3">
              <w:r>
                <w:rPr>
                  <w:rStyle w:val="InternetLink"/>
                  <w:rFonts w:ascii="Times New Roman;serif" w:hAnsi="Times New Roman;serif"/>
                  <w:b w:val="false"/>
                  <w:color w:val="0000FF"/>
                  <w:sz w:val="20"/>
                  <w:u w:val="single"/>
                </w:rPr>
                <w:t>Form of Global Note representing $700 million principal amount of Junior Subordinated Notes F due 2078 with attached Guarantee (incorporated by reference to Exhibit A to Exhibit 4.3 to Form 8-K filed February 15, 2018).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4.59</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4">
              <w:r>
                <w:rPr>
                  <w:rStyle w:val="InternetLink"/>
                  <w:rFonts w:ascii="Times New Roman;serif" w:hAnsi="Times New Roman;serif"/>
                  <w:b w:val="false"/>
                  <w:color w:val="0000FF"/>
                  <w:sz w:val="20"/>
                  <w:u w:val="single"/>
                </w:rPr>
                <w:t>Form of Global Note representing $1.0 billion principal amount of 4.15% Senior Notes due 2028 with attached Guarantee (incorporated by reference to Exhibit B to Exhibit 4.3 to Form 8-K filed October 11, 2018).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74"/>
        <w:gridCol w:w="153"/>
        <w:gridCol w:w="154"/>
        <w:gridCol w:w="2848"/>
        <w:gridCol w:w="2848"/>
        <w:gridCol w:w="402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2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4.60</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5">
              <w:r>
                <w:rPr>
                  <w:rStyle w:val="InternetLink"/>
                  <w:rFonts w:ascii="Times New Roman;serif" w:hAnsi="Times New Roman;serif"/>
                  <w:b w:val="false"/>
                  <w:color w:val="0000FF"/>
                  <w:sz w:val="20"/>
                  <w:u w:val="single"/>
                </w:rPr>
                <w:t>Form of Global Note representing $1.25 billion principal amount of 4.80% Senior Notes due 2049 with attached Guarantee (incorporated by reference to Exhibit C to Exhibit 4.3 to Form 8-K filed October 11, 2018).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4.61</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6">
              <w:r>
                <w:rPr>
                  <w:rStyle w:val="InternetLink"/>
                  <w:rFonts w:ascii="Times New Roman;serif" w:hAnsi="Times New Roman;serif"/>
                  <w:b w:val="false"/>
                  <w:color w:val="0000FF"/>
                  <w:sz w:val="20"/>
                  <w:u w:val="single"/>
                </w:rPr>
                <w:t>Form of Global Note representing $1.25 billion principal amount of 3.125% Senior Notes due 2029 with attached Guarantee (incorporated by reference to Exhibit A to Exhibit 4.3 to Form 8-K filed July 8, 2019).</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4.62</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7">
              <w:r>
                <w:rPr>
                  <w:rStyle w:val="InternetLink"/>
                  <w:rFonts w:ascii="Times New Roman;serif" w:hAnsi="Times New Roman;serif"/>
                  <w:b w:val="false"/>
                  <w:color w:val="0000FF"/>
                  <w:sz w:val="20"/>
                  <w:u w:val="single"/>
                </w:rPr>
                <w:t>Form of Global Note representing $1.25 billion principal amount of 4.200% Senior Notes due 2050 with attached Guarantee (incorporated by reference to Exhibit B to Exhibit 4.3 to Form 8-K filed July 8, 2019).</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4.63</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8">
              <w:r>
                <w:rPr>
                  <w:rStyle w:val="InternetLink"/>
                  <w:rFonts w:ascii="Times New Roman;serif" w:hAnsi="Times New Roman;serif"/>
                  <w:b w:val="false"/>
                  <w:color w:val="0000FF"/>
                  <w:sz w:val="20"/>
                  <w:u w:val="single"/>
                </w:rPr>
                <w:t>Form of Global Note representing $1.0 billion principal amount of 2.800% Senior Notes due 2030 with attached Guarantee (incorporated by reference to Exhibit A to Exhibit 4.3 to Form 8-K filed January 15, 2020).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4.64</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9">
              <w:r>
                <w:rPr>
                  <w:rStyle w:val="InternetLink"/>
                  <w:rFonts w:ascii="Times New Roman;serif" w:hAnsi="Times New Roman;serif"/>
                  <w:b w:val="false"/>
                  <w:color w:val="0000FF"/>
                  <w:sz w:val="20"/>
                  <w:u w:val="single"/>
                </w:rPr>
                <w:t>Form of Global Note representing $1.0 billion principal amount of 3.700% Senior Notes due 2051 with attached Guarantee (incorporated by reference to Exhibit B to Exhibit 4.3 to Form 8-K filed January 15, 2020).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4.65</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0">
              <w:r>
                <w:rPr>
                  <w:rStyle w:val="InternetLink"/>
                  <w:rFonts w:ascii="Times New Roman;serif" w:hAnsi="Times New Roman;serif"/>
                  <w:b w:val="false"/>
                  <w:color w:val="0000FF"/>
                  <w:sz w:val="20"/>
                  <w:u w:val="single"/>
                </w:rPr>
                <w:t>Form of Global Note representing $1.0 billion principal amount of 3.950% Senior Notes due 2060 with attached Guarantee (incorporated by reference to Exhibit C to Exhibit 4.3 to Form 8-K filed January 15, 2020).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4.66</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1">
              <w:r>
                <w:rPr>
                  <w:rStyle w:val="InternetLink"/>
                  <w:rFonts w:ascii="Times New Roman;serif" w:hAnsi="Times New Roman;serif"/>
                  <w:b w:val="false"/>
                  <w:color w:val="0000FF"/>
                  <w:sz w:val="20"/>
                  <w:u w:val="single"/>
                </w:rPr>
                <w:t>Form of Global Note representing $250 million principal amount of 2.800% Senior Notes due 2030 with attached Guarantee (incorporated by reference to Exhibit A to Exhibit 4.3 to Form 8-K filed January 15, 2020).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4.67</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2">
              <w:r>
                <w:rPr>
                  <w:rStyle w:val="InternetLink"/>
                  <w:rFonts w:ascii="Times New Roman;serif" w:hAnsi="Times New Roman;serif"/>
                  <w:b w:val="false"/>
                  <w:color w:val="0000FF"/>
                  <w:sz w:val="20"/>
                  <w:u w:val="single"/>
                </w:rPr>
                <w:t>Form of Global Note representing $1.0 billion principal amount of 3.200% Senior Notes due 2052 with attached Guarantee (incorporated by reference to Exhibit A to Exhibit 4.4 to Form 8-K filed August 7, 2020).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4.68</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3">
              <w:r>
                <w:rPr>
                  <w:rStyle w:val="InternetLink"/>
                  <w:rFonts w:ascii="Times New Roman;serif" w:hAnsi="Times New Roman;serif"/>
                  <w:b w:val="false"/>
                  <w:color w:val="0000FF"/>
                  <w:sz w:val="20"/>
                  <w:u w:val="single"/>
                </w:rPr>
                <w:t>Form of Global Note representing $1.0 billion principal amount of 3.300% Senior Notes due 2053 with attached Guarantee (incorporated by reference to Exhibit A to Exhibit 4.3 to Form 8-K filed September 15, 2021).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4.69</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4">
              <w:r>
                <w:rPr>
                  <w:rStyle w:val="InternetLink"/>
                  <w:rFonts w:ascii="Times New Roman;serif" w:hAnsi="Times New Roman;serif"/>
                  <w:b w:val="false"/>
                  <w:color w:val="0000FF"/>
                  <w:sz w:val="20"/>
                  <w:u w:val="single"/>
                </w:rPr>
                <w:t>Form of Global Note representing $750 million principal amount of 5.050% Senior Notes due 2026 with attached Guarantee (incorporated by reference to Exhibit A to Exhibit 4.4 to Form 8-K filed January 10, 2023).</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4.70</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5">
              <w:r>
                <w:rPr>
                  <w:rStyle w:val="InternetLink"/>
                  <w:rFonts w:ascii="Times New Roman;serif" w:hAnsi="Times New Roman;serif"/>
                  <w:b w:val="false"/>
                  <w:color w:val="0000FF"/>
                  <w:sz w:val="20"/>
                  <w:u w:val="single"/>
                </w:rPr>
                <w:t>Form of Global Note representing $1.0 billion principal amount of 5.350% Senior Notes due 2033 with attached Guarantee (incorporated by reference to Exhibit B to Exhibit 4.4 to Form 8-K filed January 10, 2023).</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4.71</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6">
              <w:r>
                <w:rPr>
                  <w:rStyle w:val="InternetLink"/>
                  <w:rFonts w:ascii="Times New Roman;serif" w:hAnsi="Times New Roman;serif"/>
                  <w:b w:val="false"/>
                  <w:color w:val="0000FF"/>
                  <w:sz w:val="20"/>
                  <w:u w:val="single"/>
                </w:rPr>
                <w:t>Form of Global Note representing $1.0 billion principal amount of 4.600% Senior Notes due 2027 with attached Guarantee (incorporated by reference to Exhibit A to Exhibit 4.4 to Form 8-K filed January 11, 2024).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4.72</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7">
              <w:r>
                <w:rPr>
                  <w:rStyle w:val="InternetLink"/>
                  <w:rFonts w:ascii="Times New Roman;serif" w:hAnsi="Times New Roman;serif"/>
                  <w:b w:val="false"/>
                  <w:color w:val="0000FF"/>
                  <w:sz w:val="20"/>
                  <w:u w:val="single"/>
                </w:rPr>
                <w:t>Form of Global Note representing $1.0 billion principal amount of 4.850% Senior Notes due 2034 with attached Guarantee (incorporated by reference to Exhibit B to Exhibit 4.4 to Form 8-K filed January 11, 2024).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4.73</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8">
              <w:r>
                <w:rPr>
                  <w:rStyle w:val="InternetLink"/>
                  <w:rFonts w:ascii="Times New Roman;serif" w:hAnsi="Times New Roman;serif"/>
                  <w:b w:val="false"/>
                  <w:color w:val="0000FF"/>
                  <w:sz w:val="20"/>
                  <w:u w:val="single"/>
                </w:rPr>
                <w:t>Form of Global Note representing $1.1 billion principal amount of 4.95% Senior Notes due 2035 with attached Guarantee (incorporated by reference to Exhibit A to Exhibit 4.4 to Form 8-K filed August 8, 2024).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4.74</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9">
              <w:r>
                <w:rPr>
                  <w:rStyle w:val="InternetLink"/>
                  <w:rFonts w:ascii="Times New Roman;serif" w:hAnsi="Times New Roman;serif"/>
                  <w:b w:val="false"/>
                  <w:color w:val="0000FF"/>
                  <w:sz w:val="20"/>
                  <w:u w:val="single"/>
                </w:rPr>
                <w:t>Form of Global Note representing $1.4 billion principal amount of 5.55% Senior Notes due 2055 with attached Guarantee (incorporated by reference to Exhibit B to Exhibit 4.4 to Form 8-K filed August 8, 2024).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4.75</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0">
              <w:r>
                <w:rPr>
                  <w:rStyle w:val="InternetLink"/>
                  <w:rFonts w:ascii="Times New Roman;serif" w:hAnsi="Times New Roman;serif"/>
                  <w:b w:val="false"/>
                  <w:color w:val="000080"/>
                  <w:sz w:val="20"/>
                  <w:u w:val="single"/>
                </w:rPr>
                <w:t>Form of Global Note</w:t>
              </w:r>
            </w:hyperlink>
            <w:hyperlink r:id="rId101">
              <w:r>
                <w:rPr>
                  <w:rStyle w:val="InternetLink"/>
                  <w:rFonts w:ascii="Times New Roman;serif" w:hAnsi="Times New Roman;serif"/>
                  <w:b w:val="false"/>
                  <w:color w:val="000080"/>
                  <w:sz w:val="20"/>
                  <w:u w:val="single"/>
                </w:rPr>
                <w:t xml:space="preserve"> </w:t>
              </w:r>
            </w:hyperlink>
            <w:hyperlink r:id="rId102">
              <w:r>
                <w:rPr>
                  <w:rStyle w:val="InternetLink"/>
                  <w:rFonts w:ascii="Times New Roman;serif" w:hAnsi="Times New Roman;serif"/>
                  <w:b w:val="false"/>
                  <w:color w:val="000080"/>
                  <w:sz w:val="20"/>
                  <w:u w:val="single"/>
                </w:rPr>
                <w:t>representing $500 million principal amount of 4.30% Senior Notes due 2028 with attached</w:t>
              </w:r>
            </w:hyperlink>
            <w:hyperlink r:id="rId103">
              <w:r>
                <w:rPr>
                  <w:rStyle w:val="InternetLink"/>
                  <w:rFonts w:ascii="Times New Roman;serif" w:hAnsi="Times New Roman;serif"/>
                  <w:b w:val="false"/>
                  <w:color w:val="000080"/>
                  <w:sz w:val="20"/>
                  <w:u w:val="single"/>
                </w:rPr>
                <w:t xml:space="preserve"> </w:t>
              </w:r>
            </w:hyperlink>
            <w:hyperlink r:id="rId104">
              <w:r>
                <w:rPr>
                  <w:rStyle w:val="InternetLink"/>
                  <w:rFonts w:ascii="Times New Roman;serif" w:hAnsi="Times New Roman;serif"/>
                  <w:b w:val="false"/>
                  <w:color w:val="000080"/>
                  <w:sz w:val="20"/>
                  <w:u w:val="single"/>
                </w:rPr>
                <w:t>Guarantee (</w:t>
              </w:r>
            </w:hyperlink>
            <w:hyperlink r:id="rId105">
              <w:r>
                <w:rPr>
                  <w:rStyle w:val="InternetLink"/>
                  <w:rFonts w:ascii="Times New Roman;serif" w:hAnsi="Times New Roman;serif"/>
                  <w:b w:val="false"/>
                  <w:color w:val="000080"/>
                  <w:sz w:val="20"/>
                  <w:u w:val="single"/>
                </w:rPr>
                <w:t xml:space="preserve">incorporated by reference to </w:t>
              </w:r>
            </w:hyperlink>
            <w:hyperlink r:id="rId106">
              <w:r>
                <w:rPr>
                  <w:rStyle w:val="InternetLink"/>
                  <w:rFonts w:ascii="Times New Roman;serif" w:hAnsi="Times New Roman;serif"/>
                  <w:b w:val="false"/>
                  <w:color w:val="000080"/>
                  <w:sz w:val="20"/>
                  <w:u w:val="single"/>
                </w:rPr>
                <w:t>Exhibit A to Exhibit 4.4 to Form 8-K filed June 20,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4.76</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7">
              <w:r>
                <w:rPr>
                  <w:rStyle w:val="InternetLink"/>
                  <w:rFonts w:ascii="Times New Roman;serif" w:hAnsi="Times New Roman;serif"/>
                  <w:b w:val="false"/>
                  <w:color w:val="000080"/>
                  <w:sz w:val="20"/>
                  <w:u w:val="single"/>
                </w:rPr>
                <w:t>Form of Global Note representing $</w:t>
              </w:r>
            </w:hyperlink>
            <w:hyperlink r:id="rId108">
              <w:r>
                <w:rPr>
                  <w:rStyle w:val="InternetLink"/>
                  <w:rFonts w:ascii="Times New Roman;serif" w:hAnsi="Times New Roman;serif"/>
                  <w:b w:val="false"/>
                  <w:color w:val="000080"/>
                  <w:sz w:val="20"/>
                  <w:u w:val="single"/>
                </w:rPr>
                <w:t>750</w:t>
              </w:r>
            </w:hyperlink>
            <w:hyperlink r:id="rId109">
              <w:r>
                <w:rPr>
                  <w:rStyle w:val="InternetLink"/>
                  <w:rFonts w:ascii="Times New Roman;serif" w:hAnsi="Times New Roman;serif"/>
                  <w:b w:val="false"/>
                  <w:color w:val="000080"/>
                  <w:sz w:val="20"/>
                  <w:u w:val="single"/>
                </w:rPr>
                <w:t xml:space="preserve"> million principal amount of 4.</w:t>
              </w:r>
            </w:hyperlink>
            <w:hyperlink r:id="rId110">
              <w:r>
                <w:rPr>
                  <w:rStyle w:val="InternetLink"/>
                  <w:rFonts w:ascii="Times New Roman;serif" w:hAnsi="Times New Roman;serif"/>
                  <w:b w:val="false"/>
                  <w:color w:val="000080"/>
                  <w:sz w:val="20"/>
                  <w:u w:val="single"/>
                </w:rPr>
                <w:t>60</w:t>
              </w:r>
            </w:hyperlink>
            <w:hyperlink r:id="rId111">
              <w:r>
                <w:rPr>
                  <w:rStyle w:val="InternetLink"/>
                  <w:rFonts w:ascii="Times New Roman;serif" w:hAnsi="Times New Roman;serif"/>
                  <w:b w:val="false"/>
                  <w:color w:val="000080"/>
                  <w:sz w:val="20"/>
                  <w:u w:val="single"/>
                </w:rPr>
                <w:t xml:space="preserve">% Senior Notes due </w:t>
              </w:r>
            </w:hyperlink>
            <w:hyperlink r:id="rId112">
              <w:r>
                <w:rPr>
                  <w:rStyle w:val="InternetLink"/>
                  <w:rFonts w:ascii="Times New Roman;serif" w:hAnsi="Times New Roman;serif"/>
                  <w:b w:val="false"/>
                  <w:color w:val="000080"/>
                  <w:sz w:val="20"/>
                  <w:u w:val="single"/>
                </w:rPr>
                <w:t>2031</w:t>
              </w:r>
            </w:hyperlink>
            <w:hyperlink r:id="rId113">
              <w:r>
                <w:rPr>
                  <w:rStyle w:val="InternetLink"/>
                  <w:rFonts w:ascii="Times New Roman;serif" w:hAnsi="Times New Roman;serif"/>
                  <w:b w:val="false"/>
                  <w:color w:val="000080"/>
                  <w:sz w:val="20"/>
                  <w:u w:val="single"/>
                </w:rPr>
                <w:t xml:space="preserve"> with attached Guarantee (incorporated by reference to Exhibit </w:t>
              </w:r>
            </w:hyperlink>
            <w:hyperlink r:id="rId114">
              <w:r>
                <w:rPr>
                  <w:rStyle w:val="InternetLink"/>
                  <w:rFonts w:ascii="Times New Roman;serif" w:hAnsi="Times New Roman;serif"/>
                  <w:b w:val="false"/>
                  <w:color w:val="000080"/>
                  <w:sz w:val="20"/>
                  <w:u w:val="single"/>
                </w:rPr>
                <w:t>B</w:t>
              </w:r>
            </w:hyperlink>
            <w:hyperlink r:id="rId115">
              <w:r>
                <w:rPr>
                  <w:rStyle w:val="InternetLink"/>
                  <w:rFonts w:ascii="Times New Roman;serif" w:hAnsi="Times New Roman;serif"/>
                  <w:b w:val="false"/>
                  <w:color w:val="000080"/>
                  <w:sz w:val="20"/>
                  <w:u w:val="single"/>
                </w:rPr>
                <w:t xml:space="preserve"> to Exhibit 4.4 to Form 8-K filed June 20,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4.77</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6">
              <w:r>
                <w:rPr>
                  <w:rStyle w:val="InternetLink"/>
                  <w:rFonts w:ascii="Times New Roman;serif" w:hAnsi="Times New Roman;serif"/>
                  <w:b w:val="false"/>
                  <w:color w:val="000080"/>
                  <w:sz w:val="20"/>
                  <w:u w:val="single"/>
                </w:rPr>
                <w:t>Form of Global Note representing $</w:t>
              </w:r>
            </w:hyperlink>
            <w:hyperlink r:id="rId117">
              <w:r>
                <w:rPr>
                  <w:rStyle w:val="InternetLink"/>
                  <w:rFonts w:ascii="Times New Roman;serif" w:hAnsi="Times New Roman;serif"/>
                  <w:b w:val="false"/>
                  <w:color w:val="000080"/>
                  <w:sz w:val="20"/>
                  <w:u w:val="single"/>
                </w:rPr>
                <w:t>750</w:t>
              </w:r>
            </w:hyperlink>
            <w:hyperlink r:id="rId118">
              <w:r>
                <w:rPr>
                  <w:rStyle w:val="InternetLink"/>
                  <w:rFonts w:ascii="Times New Roman;serif" w:hAnsi="Times New Roman;serif"/>
                  <w:b w:val="false"/>
                  <w:color w:val="000080"/>
                  <w:sz w:val="20"/>
                  <w:u w:val="single"/>
                </w:rPr>
                <w:t xml:space="preserve"> million principal amount of </w:t>
              </w:r>
            </w:hyperlink>
            <w:hyperlink r:id="rId119">
              <w:r>
                <w:rPr>
                  <w:rStyle w:val="InternetLink"/>
                  <w:rFonts w:ascii="Times New Roman;serif" w:hAnsi="Times New Roman;serif"/>
                  <w:b w:val="false"/>
                  <w:color w:val="000080"/>
                  <w:sz w:val="20"/>
                  <w:u w:val="single"/>
                </w:rPr>
                <w:t>5.20</w:t>
              </w:r>
            </w:hyperlink>
            <w:hyperlink r:id="rId120">
              <w:r>
                <w:rPr>
                  <w:rStyle w:val="InternetLink"/>
                  <w:rFonts w:ascii="Times New Roman;serif" w:hAnsi="Times New Roman;serif"/>
                  <w:b w:val="false"/>
                  <w:color w:val="000080"/>
                  <w:sz w:val="20"/>
                  <w:u w:val="single"/>
                </w:rPr>
                <w:t xml:space="preserve">% Senior Notes due </w:t>
              </w:r>
            </w:hyperlink>
            <w:hyperlink r:id="rId121">
              <w:r>
                <w:rPr>
                  <w:rStyle w:val="InternetLink"/>
                  <w:rFonts w:ascii="Times New Roman;serif" w:hAnsi="Times New Roman;serif"/>
                  <w:b w:val="false"/>
                  <w:color w:val="000080"/>
                  <w:sz w:val="20"/>
                  <w:u w:val="single"/>
                </w:rPr>
                <w:t>2036</w:t>
              </w:r>
            </w:hyperlink>
            <w:hyperlink r:id="rId122">
              <w:r>
                <w:rPr>
                  <w:rStyle w:val="InternetLink"/>
                  <w:rFonts w:ascii="Times New Roman;serif" w:hAnsi="Times New Roman;serif"/>
                  <w:b w:val="false"/>
                  <w:color w:val="000080"/>
                  <w:sz w:val="20"/>
                  <w:u w:val="single"/>
                </w:rPr>
                <w:t xml:space="preserve"> with attached Guarantee (incorporated by reference to Exhibit </w:t>
              </w:r>
            </w:hyperlink>
            <w:hyperlink r:id="rId123">
              <w:r>
                <w:rPr>
                  <w:rStyle w:val="InternetLink"/>
                  <w:rFonts w:ascii="Times New Roman;serif" w:hAnsi="Times New Roman;serif"/>
                  <w:b w:val="false"/>
                  <w:color w:val="000080"/>
                  <w:sz w:val="20"/>
                  <w:u w:val="single"/>
                </w:rPr>
                <w:t>C</w:t>
              </w:r>
            </w:hyperlink>
            <w:hyperlink r:id="rId124">
              <w:r>
                <w:rPr>
                  <w:rStyle w:val="InternetLink"/>
                  <w:rFonts w:ascii="Times New Roman;serif" w:hAnsi="Times New Roman;serif"/>
                  <w:b w:val="false"/>
                  <w:color w:val="000080"/>
                  <w:sz w:val="20"/>
                  <w:u w:val="single"/>
                </w:rPr>
                <w:t xml:space="preserve"> to Exhibit 4.4 to Form 8-K filed June 20,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4.78</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5">
              <w:r>
                <w:rPr>
                  <w:rStyle w:val="InternetLink"/>
                  <w:rFonts w:ascii="Times New Roman;serif" w:hAnsi="Times New Roman;serif"/>
                  <w:b w:val="false"/>
                  <w:color w:val="000080"/>
                  <w:sz w:val="20"/>
                  <w:u w:val="single"/>
                </w:rPr>
                <w:t>Form of Global Note representing $</w:t>
              </w:r>
            </w:hyperlink>
            <w:hyperlink r:id="rId126">
              <w:r>
                <w:rPr>
                  <w:rStyle w:val="InternetLink"/>
                  <w:rFonts w:ascii="Times New Roman;serif" w:hAnsi="Times New Roman;serif"/>
                  <w:b w:val="false"/>
                  <w:color w:val="000080"/>
                  <w:sz w:val="20"/>
                  <w:u w:val="single"/>
                </w:rPr>
                <w:t>300</w:t>
              </w:r>
            </w:hyperlink>
            <w:hyperlink r:id="rId127">
              <w:r>
                <w:rPr>
                  <w:rStyle w:val="InternetLink"/>
                  <w:rFonts w:ascii="Times New Roman;serif" w:hAnsi="Times New Roman;serif"/>
                  <w:b w:val="false"/>
                  <w:color w:val="000080"/>
                  <w:sz w:val="20"/>
                  <w:u w:val="single"/>
                </w:rPr>
                <w:t xml:space="preserve"> million principal amount of 4.30% Senior Notes due 2028 with attached Guarantee (incorporated by reference to Exhibit A to Exhibit 4.4 to Form 8-K filed June 20,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4.79</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8">
              <w:r>
                <w:rPr>
                  <w:rStyle w:val="InternetLink"/>
                  <w:rFonts w:ascii="Times New Roman;serif" w:hAnsi="Times New Roman;serif"/>
                  <w:b w:val="false"/>
                  <w:color w:val="000080"/>
                  <w:sz w:val="20"/>
                  <w:u w:val="single"/>
                </w:rPr>
                <w:t>Form of Global Note representing $</w:t>
              </w:r>
            </w:hyperlink>
            <w:hyperlink r:id="rId129">
              <w:r>
                <w:rPr>
                  <w:rStyle w:val="InternetLink"/>
                  <w:rFonts w:ascii="Times New Roman;serif" w:hAnsi="Times New Roman;serif"/>
                  <w:b w:val="false"/>
                  <w:color w:val="000080"/>
                  <w:sz w:val="20"/>
                  <w:u w:val="single"/>
                </w:rPr>
                <w:t>600</w:t>
              </w:r>
            </w:hyperlink>
            <w:hyperlink r:id="rId130">
              <w:r>
                <w:rPr>
                  <w:rStyle w:val="InternetLink"/>
                  <w:rFonts w:ascii="Times New Roman;serif" w:hAnsi="Times New Roman;serif"/>
                  <w:b w:val="false"/>
                  <w:color w:val="000080"/>
                  <w:sz w:val="20"/>
                  <w:u w:val="single"/>
                </w:rPr>
                <w:t xml:space="preserve"> million principal amount of 4.60% Senior Notes due 2031 with attached Guarantee (incorporated by reference to Exhibit B to Exhibit 4.4 to Form 8-K filed June 20,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80"/>
        <w:gridCol w:w="158"/>
        <w:gridCol w:w="159"/>
        <w:gridCol w:w="3113"/>
        <w:gridCol w:w="2730"/>
        <w:gridCol w:w="3865"/>
      </w:tblGrid>
      <w:tr>
        <w:trPr/>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4.80</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1">
              <w:r>
                <w:rPr>
                  <w:rStyle w:val="InternetLink"/>
                  <w:rFonts w:ascii="Times New Roman;serif" w:hAnsi="Times New Roman;serif"/>
                  <w:b w:val="false"/>
                  <w:color w:val="0000FF"/>
                  <w:sz w:val="20"/>
                  <w:u w:val="single"/>
                </w:rPr>
                <w:t>Form of Global Note representing $750 million principal amount of 5.20% Senior Notes due 2036 with attached Guarantee (incorporated by reference to Exhibit C to Exhibit 4.4 to Form 8-K filed June 20, 2025).</w:t>
              </w:r>
            </w:hyperlink>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4.81</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2">
              <w:r>
                <w:rPr>
                  <w:rStyle w:val="InternetLink"/>
                  <w:rFonts w:ascii="Times New Roman;serif" w:hAnsi="Times New Roman;serif"/>
                  <w:b w:val="false"/>
                  <w:color w:val="0000FF"/>
                  <w:sz w:val="20"/>
                  <w:u w:val="single"/>
                </w:rPr>
                <w:t>Replacement Capital Covenant, dated October 27, 2009, executed by Enterprise Products Operating LLC and Enterprise Products Partners L.P. in favor of the covered debtholders described therein (incorporated by reference to Exhibit 4.9 to Form 8-K filed October 28, 2009).</w:t>
              </w:r>
            </w:hyperlink>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4.82</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3">
              <w:r>
                <w:rPr>
                  <w:rStyle w:val="InternetLink"/>
                  <w:rFonts w:ascii="Times New Roman;serif" w:hAnsi="Times New Roman;serif"/>
                  <w:b w:val="false"/>
                  <w:color w:val="0000FF"/>
                  <w:sz w:val="20"/>
                  <w:u w:val="single"/>
                </w:rPr>
                <w:t>Amendment to Replacement Capital Covenants, dated May 6, 2015, executed by Enterprise Products Operating LLC and Enterprise Products Partners L.P. in favor of the covered debtholders described therein (incorporated by reference to Exhibit 4.59 to Form 10-Q filed May 8, 2015).</w:t>
              </w:r>
            </w:hyperlink>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4.83</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4">
              <w:r>
                <w:rPr>
                  <w:rStyle w:val="InternetLink"/>
                  <w:rFonts w:ascii="Times New Roman;serif" w:hAnsi="Times New Roman;serif"/>
                  <w:b w:val="false"/>
                  <w:color w:val="0000FF"/>
                  <w:sz w:val="20"/>
                  <w:u w:val="single"/>
                </w:rPr>
                <w:t>Specimen Unit Certificate for the Series A Cumulative Convertible Preferred Units, (incorporated by reference to Exhibit B to Exhibit 3.1 to Form 8-K filed October 1, 2020).</w:t>
              </w:r>
            </w:hyperlink>
          </w:p>
        </w:tc>
      </w:tr>
      <w:tr>
        <w:trPr/>
        <w:tc>
          <w:tcPr>
            <w:tcW w:w="497" w:type="dxa"/>
            <w:gridSpan w:val="3"/>
            <w:tcBorders/>
            <w:vAlign w:val="center"/>
          </w:tcPr>
          <w:p>
            <w:pPr>
              <w:pStyle w:val="TableContents"/>
              <w:bidi w:val="0"/>
              <w:spacing w:before="0" w:after="283"/>
              <w:jc w:val="left"/>
              <w:rPr>
                <w:sz w:val="4"/>
                <w:szCs w:val="4"/>
              </w:rPr>
            </w:pPr>
            <w:r>
              <w:rPr>
                <w:sz w:val="4"/>
                <w:szCs w:val="4"/>
              </w:rPr>
            </w:r>
          </w:p>
        </w:tc>
        <w:tc>
          <w:tcPr>
            <w:tcW w:w="9708" w:type="dxa"/>
            <w:gridSpan w:val="3"/>
            <w:tcBorders/>
            <w:vAlign w:val="center"/>
          </w:tcPr>
          <w:p>
            <w:pPr>
              <w:pStyle w:val="TableContents"/>
              <w:bidi w:val="0"/>
              <w:spacing w:before="0" w:after="283"/>
              <w:jc w:val="left"/>
              <w:rPr>
                <w:sz w:val="4"/>
                <w:szCs w:val="4"/>
              </w:rPr>
            </w:pPr>
            <w:r>
              <w:rPr>
                <w:sz w:val="4"/>
                <w:szCs w:val="4"/>
              </w:rPr>
            </w:r>
          </w:p>
        </w:tc>
      </w:tr>
      <w:tr>
        <w:trPr/>
        <w:tc>
          <w:tcPr>
            <w:tcW w:w="497" w:type="dxa"/>
            <w:gridSpan w:val="3"/>
            <w:tcBorders/>
            <w:vAlign w:val="center"/>
          </w:tcPr>
          <w:p>
            <w:pPr>
              <w:pStyle w:val="TableContents"/>
              <w:bidi w:val="0"/>
              <w:spacing w:before="0" w:after="283"/>
              <w:jc w:val="left"/>
              <w:rPr>
                <w:sz w:val="4"/>
                <w:szCs w:val="4"/>
              </w:rPr>
            </w:pPr>
            <w:r>
              <w:rPr>
                <w:sz w:val="4"/>
                <w:szCs w:val="4"/>
              </w:rPr>
            </w:r>
          </w:p>
        </w:tc>
        <w:tc>
          <w:tcPr>
            <w:tcW w:w="9708" w:type="dxa"/>
            <w:gridSpan w:val="3"/>
            <w:tcBorders/>
            <w:vAlign w:val="center"/>
          </w:tcPr>
          <w:p>
            <w:pPr>
              <w:pStyle w:val="TableContents"/>
              <w:bidi w:val="0"/>
              <w:spacing w:before="0" w:after="283"/>
              <w:jc w:val="left"/>
              <w:rPr>
                <w:sz w:val="4"/>
                <w:szCs w:val="4"/>
              </w:rPr>
            </w:pPr>
            <w:r>
              <w:rPr>
                <w:sz w:val="4"/>
                <w:szCs w:val="4"/>
              </w:rPr>
            </w:r>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5">
              <w:r>
                <w:rPr>
                  <w:rStyle w:val="InternetLink"/>
                  <w:rFonts w:ascii="Times New Roman;serif" w:hAnsi="Times New Roman;serif"/>
                  <w:b w:val="false"/>
                  <w:color w:val="0000FF"/>
                  <w:sz w:val="20"/>
                  <w:u w:val="single"/>
                </w:rPr>
                <w:t>Revolving Credit Agreement, dated as of July 28, 2026, by and among Enterprise Products Operating LLC, as Borrower, the Lenders party thereto, Citibank, N.A., as Administrative Agent, and certain financial institutions named therein, as Co-Syndication Agents and Co-Documentation Agents (incorporated by reference to Exhibit 10.1 to Form 8-K filed July 30, 2026).</w:t>
              </w:r>
            </w:hyperlink>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6">
              <w:r>
                <w:rPr>
                  <w:rStyle w:val="InternetLink"/>
                  <w:rFonts w:ascii="Times New Roman;serif" w:hAnsi="Times New Roman;serif"/>
                  <w:b w:val="false"/>
                  <w:color w:val="0000FF"/>
                  <w:sz w:val="20"/>
                  <w:u w:val="single"/>
                </w:rPr>
                <w:t>Guaranty Agreement, dated as of July 28, 2026, by Enterprise Products Partners L.P. in favor of Citibank, N.A., as administrative agent (incorporated by reference to Exhibit 10.2 to Form 8-K filed July 30, 2026).</w:t>
              </w:r>
            </w:hyperlink>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pd-20260630xexx221.htm">
              <w:r>
                <w:rPr>
                  <w:rStyle w:val="InternetLink"/>
                  <w:rFonts w:ascii="Times New Roman;serif" w:hAnsi="Times New Roman;serif"/>
                  <w:b w:val="false"/>
                  <w:color w:val="000080"/>
                  <w:sz w:val="20"/>
                  <w:u w:val="single"/>
                </w:rPr>
                <w:t xml:space="preserve">List of Issuers of Debt Securities Guaranteed by Enterprise Products Partners L.P. and Associated Securities at </w:t>
              </w:r>
            </w:hyperlink>
            <w:hyperlink w:anchor="epd-20260630xexx221.htm">
              <w:r>
                <w:rPr>
                  <w:rStyle w:val="InternetLink"/>
                  <w:rFonts w:ascii="Times New Roman;serif" w:hAnsi="Times New Roman;serif"/>
                  <w:b w:val="false"/>
                  <w:color w:val="000080"/>
                  <w:sz w:val="20"/>
                  <w:u w:val="single"/>
                </w:rPr>
                <w:t>June 30</w:t>
              </w:r>
            </w:hyperlink>
            <w:hyperlink w:anchor="epd-20260630xexx221.htm">
              <w:r>
                <w:rPr>
                  <w:rStyle w:val="InternetLink"/>
                  <w:rFonts w:ascii="Times New Roman;serif" w:hAnsi="Times New Roman;serif"/>
                  <w:b w:val="false"/>
                  <w:color w:val="000080"/>
                  <w:sz w:val="20"/>
                  <w:u w:val="single"/>
                </w:rPr>
                <w:t>, 202</w:t>
              </w:r>
            </w:hyperlink>
            <w:hyperlink w:anchor="epd-20260630xexx221.htm">
              <w:r>
                <w:rPr>
                  <w:rStyle w:val="InternetLink"/>
                  <w:rFonts w:ascii="Times New Roman;serif" w:hAnsi="Times New Roman;serif"/>
                  <w:b w:val="false"/>
                  <w:color w:val="000080"/>
                  <w:sz w:val="20"/>
                  <w:u w:val="single"/>
                </w:rPr>
                <w:t>6</w:t>
              </w:r>
            </w:hyperlink>
            <w:hyperlink w:anchor="epd-20260630xexx221.htm">
              <w:r>
                <w:rPr>
                  <w:rStyle w:val="InternetLink"/>
                  <w:rFonts w:ascii="Times New Roman;serif" w:hAnsi="Times New Roman;serif"/>
                  <w:b w:val="false"/>
                  <w:color w:val="000080"/>
                  <w:sz w:val="20"/>
                  <w:u w:val="single"/>
                </w:rPr>
                <w:t>.</w:t>
              </w:r>
            </w:hyperlink>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pd-20260630xexx311.htm">
              <w:r>
                <w:rPr>
                  <w:rStyle w:val="InternetLink"/>
                  <w:rFonts w:ascii="Times New Roman;serif" w:hAnsi="Times New Roman;serif"/>
                  <w:b w:val="false"/>
                  <w:color w:val="0000FF"/>
                  <w:sz w:val="20"/>
                  <w:u w:val="single"/>
                </w:rPr>
                <w:t>Sarbanes-Oxley Section 302 certification of A. James Teague for Enterprise Products Partners L.P.’s quarterly report on Form 10-Q.</w:t>
              </w:r>
            </w:hyperlink>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pd-20260630xexx312.htm">
              <w:r>
                <w:rPr>
                  <w:rStyle w:val="InternetLink"/>
                  <w:rFonts w:ascii="Times New Roman;serif" w:hAnsi="Times New Roman;serif"/>
                  <w:b w:val="false"/>
                  <w:color w:val="0000FF"/>
                  <w:sz w:val="20"/>
                  <w:u w:val="single"/>
                </w:rPr>
                <w:t>Sarbanes-Oxley Section 302 certification of W. Randall Fowler for Enterprise Products Partners L.P.’s quarterly report on Form 10-Q.</w:t>
              </w:r>
            </w:hyperlink>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pd-20260630xexx313.htm">
              <w:r>
                <w:rPr>
                  <w:rStyle w:val="InternetLink"/>
                  <w:rFonts w:ascii="Times New Roman;serif" w:hAnsi="Times New Roman;serif"/>
                  <w:b w:val="false"/>
                  <w:color w:val="0000FF"/>
                  <w:sz w:val="20"/>
                  <w:u w:val="single"/>
                </w:rPr>
                <w:t>Sarbanes-Oxley Section 302 certification of R. Daniel Boss for Enterprise Products Partners L.P.’s quarterly report on Form 10-Q.</w:t>
              </w:r>
            </w:hyperlink>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pd-20260630xexx321.htm">
              <w:r>
                <w:rPr>
                  <w:rStyle w:val="InternetLink"/>
                  <w:rFonts w:ascii="Times New Roman;serif" w:hAnsi="Times New Roman;serif"/>
                  <w:b w:val="false"/>
                  <w:color w:val="0000FF"/>
                  <w:sz w:val="20"/>
                  <w:u w:val="single"/>
                </w:rPr>
                <w:t>Sarbanes-Oxley Section 906 certification of A. James Teague for Enterprise Products Partners L.P.’s quarterly report on Form 10-Q.</w:t>
              </w:r>
            </w:hyperlink>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pd-20260630xexx322.htm">
              <w:r>
                <w:rPr>
                  <w:rStyle w:val="InternetLink"/>
                  <w:rFonts w:ascii="Times New Roman;serif" w:hAnsi="Times New Roman;serif"/>
                  <w:b w:val="false"/>
                  <w:color w:val="0000FF"/>
                  <w:sz w:val="20"/>
                  <w:u w:val="single"/>
                </w:rPr>
                <w:t>Sarbanes-Oxley Section 906 certification of W. Randall Fowler for Enterprise Products Partners L.P.’s quarterly report on Form 10-Q.</w:t>
              </w:r>
            </w:hyperlink>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32.3#</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pd-20260630xexx323.htm">
              <w:r>
                <w:rPr>
                  <w:rStyle w:val="InternetLink"/>
                  <w:rFonts w:ascii="Times New Roman;serif" w:hAnsi="Times New Roman;serif"/>
                  <w:b w:val="false"/>
                  <w:color w:val="0000FF"/>
                  <w:sz w:val="20"/>
                  <w:u w:val="single"/>
                </w:rPr>
                <w:t>Sarbanes-Oxley Section 906 certification of R. Daniel Boss for Enterprise Products Partners L.P.’s quarterly report on Form 10-Q.</w:t>
              </w:r>
            </w:hyperlink>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Interactive data files pursuant to Rule 405 of Regulation S-T formatted in iXBRL (Inline Extensible Business Reporting Language) in this Form 10-Q include the: (i) Unaudited Condensed Consolidated Balance Sheets, (ii) Unaudited Condensed Statements of Consolidated Operations, (iii) Unaudited Condensed Statements of Consolidated Comprehensive Income, (iv) Unaudited Condensed Statements of Consolidated Cash Flows, (v) Unaudited Condensed Statements of Consolidated Equity and (vi) Notes to the Unaudited Condensed Consolidated Financial Statements.</w:t>
            </w:r>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iXBRL document).</w:t>
            </w:r>
          </w:p>
        </w:tc>
      </w:tr>
      <w:tr>
        <w:trPr/>
        <w:tc>
          <w:tcPr>
            <w:tcW w:w="4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Filed with this report.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6895d5a77e7549d8b70720fa7189d937_7">
        <w:r>
          <w:rPr>
            <w:rStyle w:val="InternetLink"/>
            <w:rFonts w:ascii="Times New Roman;serif" w:hAnsi="Times New Roman;serif"/>
            <w:b w:val="false"/>
            <w:color w:val="0000FF"/>
            <w:sz w:val="14"/>
            <w:u w:val="single"/>
            <w:shd w:fill="FFFFFF" w:val="clear"/>
          </w:rPr>
          <w:t>Table of Contents</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Pursuant to the requirements of the Securities Exchange Act of 1934, the registrant has duly caused this report to be signed on its behalf by the undersigned thereunto duly authorized on </w:t>
      </w:r>
      <w:r>
        <w:rPr>
          <w:rFonts w:ascii="Times New Roman;serif" w:hAnsi="Times New Roman;serif"/>
          <w:b w:val="false"/>
          <w:color w:val="000000"/>
          <w:sz w:val="20"/>
        </w:rPr>
        <w:t>August 7, 2026</w:t>
      </w:r>
      <w:r>
        <w:rPr>
          <w:rFonts w:ascii="Times New Roman;serif" w:hAnsi="Times New Roman;serif"/>
          <w:b w:val="false"/>
          <w:color w:val="000000"/>
          <w:sz w:val="20"/>
          <w:shd w:fill="FFFFFF" w:val="clear"/>
        </w:rPr>
        <w:t>.</w:t>
      </w:r>
    </w:p>
    <w:tbl>
      <w:tblPr>
        <w:tblW w:w="8427" w:type="dxa"/>
        <w:jc w:val="left"/>
        <w:tblInd w:w="0" w:type="dxa"/>
        <w:tblLayout w:type="fixed"/>
        <w:tblCellMar>
          <w:top w:w="28" w:type="dxa"/>
          <w:left w:w="28" w:type="dxa"/>
          <w:bottom w:w="28" w:type="dxa"/>
          <w:right w:w="28" w:type="dxa"/>
        </w:tblCellMar>
      </w:tblPr>
      <w:tblGrid>
        <w:gridCol w:w="124"/>
        <w:gridCol w:w="109"/>
        <w:gridCol w:w="109"/>
        <w:gridCol w:w="615"/>
        <w:gridCol w:w="615"/>
        <w:gridCol w:w="615"/>
        <w:gridCol w:w="1817"/>
        <w:gridCol w:w="1817"/>
        <w:gridCol w:w="26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ENTERPRISE PRODUCTS PARTNERS L.P.</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Delaware Limited Partnership)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Products Holdings LLC, as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 Daniel Boss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24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 Daniel Boss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of the General Partner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22.1</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List of Issuers of Debt Securities Guaranteed by Enterprise Products Partners L.P. and Associated Securities at June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compliance with Item 601(b)(22) of Regulation S-K, the following is a list of publicly traded debt securities issued by Enterprise Products Operating LLC (the “Subsidiary Issuer”) and guaranteed by Enterprise Products Partners L.P. (the “Parent Guarantor”) (dollars in millions):</w:t>
      </w:r>
    </w:p>
    <w:p>
      <w:pPr>
        <w:pStyle w:val="TextBody"/>
        <w:bidi w:val="0"/>
        <w:spacing w:before="0" w:after="0"/>
        <w:jc w:val="both"/>
        <w:rPr/>
      </w:pPr>
      <w:r>
        <w:rPr/>
      </w:r>
    </w:p>
    <w:tbl>
      <w:tblPr>
        <w:tblW w:w="6824" w:type="dxa"/>
        <w:jc w:val="left"/>
        <w:tblInd w:w="0" w:type="dxa"/>
        <w:tblLayout w:type="fixed"/>
        <w:tblCellMar>
          <w:top w:w="28" w:type="dxa"/>
          <w:left w:w="28" w:type="dxa"/>
          <w:bottom w:w="28" w:type="dxa"/>
          <w:right w:w="28" w:type="dxa"/>
        </w:tblCellMar>
      </w:tblPr>
      <w:tblGrid>
        <w:gridCol w:w="1772"/>
        <w:gridCol w:w="1555"/>
        <w:gridCol w:w="1562"/>
        <w:gridCol w:w="418"/>
        <w:gridCol w:w="1186"/>
        <w:gridCol w:w="331"/>
      </w:tblGrid>
      <w:tr>
        <w:trPr/>
        <w:tc>
          <w:tcPr>
            <w:tcW w:w="177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0"/>
              <w:ind w:left="0" w:right="0" w:hanging="180"/>
              <w:jc w:val="center"/>
              <w:rPr/>
            </w:pPr>
            <w:r>
              <w:rPr/>
            </w:r>
          </w:p>
        </w:tc>
        <w:tc>
          <w:tcPr>
            <w:tcW w:w="193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6"/>
              </w:rPr>
            </w:pPr>
            <w:r>
              <w:rPr>
                <w:rFonts w:ascii="Times New Roman;serif" w:hAnsi="Times New Roman;serif"/>
                <w:b/>
                <w:color w:val="000000"/>
                <w:sz w:val="16"/>
              </w:rPr>
              <w:t>Amounts Outstanding at</w:t>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Guaranteed Securities</w:t>
            </w:r>
          </w:p>
        </w:tc>
        <w:tc>
          <w:tcPr>
            <w:tcW w:w="193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HHH, 4.60% fixed-rate, due January 2027</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SS, 3.95% fixed-rate, due February 2027</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LLL, 4.30%, fixed-rate, due June 2028</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WW, 4.15% fixed-rate, due October 2028</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YY, 3.125% fixed-rate, due July 2029</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AAA, 2.80% fixed-rate, due January 2030</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MMM, 4.60% fixed-rate, due January 2031</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GGG, 5.35% fixed-rate, due January 2033</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D, 6.875% fixed-rate, due March 2033</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III, 4.85% fixed-rate, due January 2034</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H, 6.65% fixed-rate, due October 2034</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JJJ, 4.95% fixed-rate, due February 2035</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1,100 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J, 5.75% fixed-rate, due March 2035</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NNN, 5.20% fixed-rate, due January 2036</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W, 7.55% fixed-rate, due April 2038</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R, 6.125% fixed-rate, due October 2039</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Z, 6.45% fixed-rate, due September 2040</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BB, 5.95% fixed-rate, due February 2041</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DD, 5.70% fixed-rate, due February 2042</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EE, 4.85% fixed-rate, due August 2042</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GG, 4.45% fixed-rate, due February 2043</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1,100 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II, 4.85% fixed-rate, due March 2044</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KK, 5.10% fixed-rate, due February 2045</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1,150 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QQ, 4.90% fixed-rate, due May 2046</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975 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UU, 4.25% fixed-rate, due February 2048</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XX, 4.80% fixed-rate, due February 2049</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ZZ, 4.20% fixed-rate, due January 2050</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BBB, 3.70% fixed-rate, due January 2051</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DDD, 3.20% fixed-rate, due February 2052</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EEE, 3.30% fixed-rate, due February 2053</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NN, 4.95% fixed-rate, due October 2054</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KKK, 5.55% fixed-rate, due February 2055</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Senior Notes CCC, 3.95% fixed-rate, due January 2060</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Junior Subordinated Notes C, variable-rate, due June 2067</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Junior Subordinated Notes D, variable-rate, due August 2077</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Junior Subordinated Notes E, fixed/variable-rate, due August 2077</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Junior Subordinated Notes F, fixed/variable-rate, due February 2078</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SARBANES-OXLEY SECTION 302 CERTIFICATION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A. James Teague,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Enterprise Products Partners L.P;</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4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340"/>
        <w:gridCol w:w="317"/>
        <w:gridCol w:w="317"/>
        <w:gridCol w:w="2591"/>
        <w:gridCol w:w="2581"/>
        <w:gridCol w:w="37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 A. James Teague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888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James Teague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8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Co-Chief Executive Officer of Enterprise Products Holdings LLC, the General Partner of Enterprise Products Partners L.P.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SARBANES-OXLEY SECTION 302 CERTIFICATION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W. Randall Fowler,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Enterprise Products Partners L.P.;</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4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362"/>
        <w:gridCol w:w="338"/>
        <w:gridCol w:w="338"/>
        <w:gridCol w:w="2579"/>
        <w:gridCol w:w="2557"/>
        <w:gridCol w:w="36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 W. Randall Fowler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88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 Randall Fowler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8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Co-Chief Executive Officer of Enterprise Products Holdings LLC, the General Partner of Enterprise Products Partners L.P.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SARBANES-OXLEY SECTION 302 CERTIFICATION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R. Daniel Boss,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Enterprise Products Partners L.P;</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4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2"/>
        <w:gridCol w:w="265"/>
        <w:gridCol w:w="259"/>
        <w:gridCol w:w="2657"/>
        <w:gridCol w:w="2657"/>
        <w:gridCol w:w="37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 R. Daniel Boss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902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 Daniel Boss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Chief Financial Officer of Enterprise Products Holdings LLC, the General Partner of Enterprise Products Partners L.P.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SARBANES-OXLEY SECTION 906 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A. JAMES TEAGUE, CO-CHIEF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ENTERPRISE PRODUCTS HOLDINGS LLC, THE GENERAL PARTNER OF</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ENTERPRISE PRODUCTS PARTNERS L.P.</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this quarterly report of Enterprise Products Partners L.P. (the “Registrant”) on Form 10-Q for the quarterly period ended June 30, 2026 as filed with the Securities and Exchange Commission on the date hereof (the “Report”), I, A. James Teague, Co-Chief Executive Officer of Enterprise Products Holdings LLC, the General Partner of the Registrant, certify, pursuant to 18 U.S.C. § 1350, as adopted pursuant to § 906 of the Sarbanes-Oxley Act of 2002,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340"/>
        <w:gridCol w:w="317"/>
        <w:gridCol w:w="317"/>
        <w:gridCol w:w="2591"/>
        <w:gridCol w:w="2581"/>
        <w:gridCol w:w="37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 A. James Teague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88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James Teague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Co-Chief Executive Officer of Enterprise Products Holdings LLC, the General Partner of Enterprise Products Partners L.P.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SARBANES-OXLEY SECTION 906 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W. RANDALL FOWLER, CO-CHIEF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ENTERPRISE PRODUCTS HOLDINGS LLC, THE GENERAL PARTNER OF</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ENTERPRISE PRODUCTS PARTNERS L.P.</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this quarterly report of Enterprise Products Partners L.P. (the “Registrant”) on Form 10-Q for the quarterly period ended June 30, 2026 as filed with the Securities and Exchange Commission on the date hereof (the “Report”), I, W. Randall Fowler, Co-Chief Executive Officer of Enterprise Products Holdings LLC, the General Partner of the Registrant, certify, pursuant to 18 U.S.C. § 1350, as adopted pursuant to § 906 of the Sarbanes-Oxley Act of 2002,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357"/>
        <w:gridCol w:w="332"/>
        <w:gridCol w:w="332"/>
        <w:gridCol w:w="2611"/>
        <w:gridCol w:w="2589"/>
        <w:gridCol w:w="3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 W. Randall Fowler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84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 Randall Fowler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8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Co-Chief Executive Officer of Enterprise Products Holdings LLC, the General Partner of Enterprise Products Partners L.P.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32.3</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SARBANES-OXLEY SECTION 906 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R. DANIEL BOSS,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VICE PRESIDENT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ENTERPRISE PRODUCTS HOLDINGS LLC, THE GENERAL PARTNER OF</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ENTERPRISE PRODUCTS PARTNERS L.P.</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this quarterly report of Enterprise Products Partners L.P. (the “Registrant”) on Form 10-Q for the quarterly period ended June 30, 2026 as filed with the Securities and Exchange Commission on the date hereof (the “Report”), I, R. Daniel Boss, Executive Vice President and Chief Financial Officer of Enterprise Products Holdings LLC, the General Partner of the Registrant, certify, pursuant to 18 U.S.C. § 1350, as adopted pursuant to § 906 of the Sarbanes-Oxley Act of 2002,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2"/>
        <w:gridCol w:w="265"/>
        <w:gridCol w:w="259"/>
        <w:gridCol w:w="2657"/>
        <w:gridCol w:w="2657"/>
        <w:gridCol w:w="37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 R. Daniel Boss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902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 Daniel Boss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Chief Financial Officer of Enterprise Products Holdings LLC, the General Partner of Enterprise Products Partners L.P.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61219/000095012903006098/h11257exv2w1.txt" TargetMode="External"/><Relationship Id="rId3" Type="http://schemas.openxmlformats.org/officeDocument/2006/relationships/hyperlink" Target="https://www.sec.gov/Archives/edgar/data/1061219/000106121904000194/exhibit2-1.htm" TargetMode="External"/><Relationship Id="rId4" Type="http://schemas.openxmlformats.org/officeDocument/2006/relationships/hyperlink" Target="https://www.sec.gov/Archives/edgar/data/1061219/000095012903006098/h11257exv2w2.txt" TargetMode="External"/><Relationship Id="rId5" Type="http://schemas.openxmlformats.org/officeDocument/2006/relationships/hyperlink" Target="https://www.sec.gov/Archives/edgar/data/1061219/000106121904000053/exhibit2-1.htm" TargetMode="External"/><Relationship Id="rId6" Type="http://schemas.openxmlformats.org/officeDocument/2006/relationships/hyperlink" Target="https://www.sec.gov/Archives/edgar/data/1061219/000095012903006098/h11257exv2w4.txt" TargetMode="External"/><Relationship Id="rId7" Type="http://schemas.openxmlformats.org/officeDocument/2006/relationships/hyperlink" Target="https://www.sec.gov/Archives/edgar/data/1061219/000095012309018753/h67302exv2w1.htm" TargetMode="External"/><Relationship Id="rId8" Type="http://schemas.openxmlformats.org/officeDocument/2006/relationships/hyperlink" Target="https://www.sec.gov/Archives/edgar/data/1061219/000095012309018753/h67302exv2w2.htm" TargetMode="External"/><Relationship Id="rId9" Type="http://schemas.openxmlformats.org/officeDocument/2006/relationships/hyperlink" Target="https://www.sec.gov/Archives/edgar/data/1061219/000095012310084271/h75957exv2w1.htm" TargetMode="External"/><Relationship Id="rId10" Type="http://schemas.openxmlformats.org/officeDocument/2006/relationships/hyperlink" Target="https://www.sec.gov/Archives/edgar/data/1061219/000095012310084271/h75957exv2w2.htm" TargetMode="External"/><Relationship Id="rId11" Type="http://schemas.openxmlformats.org/officeDocument/2006/relationships/hyperlink" Target="https://www.sec.gov/Archives/edgar/data/1061219/000095012310090755/h76576exv2w1.htm" TargetMode="External"/><Relationship Id="rId12" Type="http://schemas.openxmlformats.org/officeDocument/2006/relationships/hyperlink" Target="https://www.sec.gov/Archives/edgar/data/1061219/000095012311042253/h81801exv2w1.htm" TargetMode="External"/><Relationship Id="rId13" Type="http://schemas.openxmlformats.org/officeDocument/2006/relationships/hyperlink" Target="https://www.sec.gov/Archives/edgar/data/1061219/000119312514360884/d798407dex21.htm" TargetMode="External"/><Relationship Id="rId14" Type="http://schemas.openxmlformats.org/officeDocument/2006/relationships/hyperlink" Target="https://www.sec.gov/Archives/edgar/data/1061219/000119312514409528/d820273dex21.htm" TargetMode="External"/><Relationship Id="rId15" Type="http://schemas.openxmlformats.org/officeDocument/2006/relationships/hyperlink" Target="https://www.sec.gov/Archives/edgar/data/1061219/000106121918000020/exhibit2_2.htm" TargetMode="External"/><Relationship Id="rId16" Type="http://schemas.openxmlformats.org/officeDocument/2006/relationships/hyperlink" Target="https://www.sec.gov/Archives/edgar/data/1061219/000106121907000043/exhibit3_6.htm" TargetMode="External"/><Relationship Id="rId17" Type="http://schemas.openxmlformats.org/officeDocument/2006/relationships/hyperlink" Target="https://www.sec.gov/Archives/edgar/data/1061219/000106121910000072/exhibit3_6.htm" TargetMode="External"/><Relationship Id="rId18" Type="http://schemas.openxmlformats.org/officeDocument/2006/relationships/hyperlink" Target="https://www.sec.gov/Archives/edgar/data/1061219/000119312520261373/d170716dex31.htm" TargetMode="External"/><Relationship Id="rId19" Type="http://schemas.openxmlformats.org/officeDocument/2006/relationships/hyperlink" Target="https://www.sec.gov/Archives/edgar/data/1324592/000119312505146603/dex33.htm" TargetMode="External"/><Relationship Id="rId20" Type="http://schemas.openxmlformats.org/officeDocument/2006/relationships/hyperlink" Target="https://www.sec.gov/Archives/edgar/data/1061219/000106121910000072/exhibit3_5.htm" TargetMode="External"/><Relationship Id="rId21" Type="http://schemas.openxmlformats.org/officeDocument/2006/relationships/hyperlink" Target="https://www.sec.gov/Archives/edgar/data/1061219/000106121922000020/exhibit3_9.htm" TargetMode="External"/><Relationship Id="rId22" Type="http://schemas.openxmlformats.org/officeDocument/2006/relationships/hyperlink" Target="https://www.sec.gov/Archives/edgar/data/1061219/000106121907000037/exhibit3_3.htm" TargetMode="External"/><Relationship Id="rId23" Type="http://schemas.openxmlformats.org/officeDocument/2006/relationships/hyperlink" Target="https://www.sec.gov/Archives/edgar/data/1061219/000095012904010113/h19587exv3w5.htm" TargetMode="External"/><Relationship Id="rId24" Type="http://schemas.openxmlformats.org/officeDocument/2006/relationships/hyperlink" Target="https://www.sec.gov/Archives/edgar/data/1061219/000095012904010113/h19587exv3w6.htm" TargetMode="External"/><Relationship Id="rId25" Type="http://schemas.openxmlformats.org/officeDocument/2006/relationships/hyperlink" Target="https://www.sec.gov/Archives/edgar/data/1061219/000119312520261373/d170716dex31.htm" TargetMode="External"/><Relationship Id="rId26" Type="http://schemas.openxmlformats.org/officeDocument/2006/relationships/hyperlink" Target="https://www.sec.gov/Archives/edgar/data/1061219/000106121920000014/exhibit4_2.htm" TargetMode="External"/><Relationship Id="rId27" Type="http://schemas.openxmlformats.org/officeDocument/2006/relationships/hyperlink" Target="https://www.sec.gov/Archives/edgar/data/1061219/000089924300000467/0000899243-00-000467.txt" TargetMode="External"/><Relationship Id="rId28" Type="http://schemas.openxmlformats.org/officeDocument/2006/relationships/hyperlink" Target="https://www.sec.gov/Archives/edgar/data/1061219/000095012903001725/h04315exv4w3.txt" TargetMode="External"/><Relationship Id="rId29" Type="http://schemas.openxmlformats.org/officeDocument/2006/relationships/hyperlink" Target="https://www.sec.gov/Archives/edgar/data/1061219/000106121907000037/exhibit4_55.htm" TargetMode="External"/><Relationship Id="rId30" Type="http://schemas.openxmlformats.org/officeDocument/2006/relationships/hyperlink" Target="https://www.sec.gov/Archives/edgar/data/1061219/000106121904000231/exhibit4-1.htm" TargetMode="External"/><Relationship Id="rId31" Type="http://schemas.openxmlformats.org/officeDocument/2006/relationships/hyperlink" Target="https://www.sec.gov/Archives/edgar/data/1061219/000106121904000231/exhibit4-5.htm" TargetMode="External"/><Relationship Id="rId32" Type="http://schemas.openxmlformats.org/officeDocument/2006/relationships/hyperlink" Target="https://www.sec.gov/Archives/edgar/data/1061219/000095013405004121/h22993exv4w3.htm" TargetMode="External"/><Relationship Id="rId33" Type="http://schemas.openxmlformats.org/officeDocument/2006/relationships/hyperlink" Target="https://www.sec.gov/Archives/edgar/data/1061219/000106121907000037/exhibit4_54.htm" TargetMode="External"/><Relationship Id="rId34" Type="http://schemas.openxmlformats.org/officeDocument/2006/relationships/hyperlink" Target="https://www.sec.gov/Archives/edgar/data/1061219/000095012309048189/h68150exv4w3.htm" TargetMode="External"/><Relationship Id="rId35" Type="http://schemas.openxmlformats.org/officeDocument/2006/relationships/hyperlink" Target="https://www.sec.gov/Archives/edgar/data/1061219/000095012309054271/h68298exv4w1.htm" TargetMode="External"/><Relationship Id="rId36" Type="http://schemas.openxmlformats.org/officeDocument/2006/relationships/hyperlink" Target="https://www.sec.gov/Archives/edgar/data/1061219/000095012309054271/h68298exv4w2.htm" TargetMode="External"/><Relationship Id="rId37" Type="http://schemas.openxmlformats.org/officeDocument/2006/relationships/hyperlink" Target="https://www.sec.gov/Archives/edgar/data/1061219/000095012310051426/h73201exv4w3.htm" TargetMode="External"/><Relationship Id="rId38" Type="http://schemas.openxmlformats.org/officeDocument/2006/relationships/hyperlink" Target="https://www.sec.gov/Archives/edgar/data/1061219/000095012311002459/h78817exv4w3.htm" TargetMode="External"/><Relationship Id="rId39" Type="http://schemas.openxmlformats.org/officeDocument/2006/relationships/hyperlink" Target="https://www.sec.gov/Archives/edgar/data/1061219/000095012311079627/h84367exv4w3.htm" TargetMode="External"/><Relationship Id="rId40" Type="http://schemas.openxmlformats.org/officeDocument/2006/relationships/hyperlink" Target="https://www.sec.gov/Archives/edgar/data/1061219/000106121912000015/exhibit4_25.htm" TargetMode="External"/><Relationship Id="rId41" Type="http://schemas.openxmlformats.org/officeDocument/2006/relationships/hyperlink" Target="https://www.sec.gov/Archives/edgar/data/1061219/000119312512351427/d396705dex43.htm" TargetMode="External"/><Relationship Id="rId42" Type="http://schemas.openxmlformats.org/officeDocument/2006/relationships/hyperlink" Target="https://www.sec.gov/Archives/edgar/data/1061219/000119312513111663/d504401dex43.htm" TargetMode="External"/><Relationship Id="rId43" Type="http://schemas.openxmlformats.org/officeDocument/2006/relationships/hyperlink" Target="https://www.sec.gov/Archives/edgar/data/1061219/000119312514047122/d677538dex43.htm" TargetMode="External"/><Relationship Id="rId44" Type="http://schemas.openxmlformats.org/officeDocument/2006/relationships/hyperlink" Target="https://www.sec.gov/Archives/edgar/data/1061219/000119312514370411/d804454dex44.htm" TargetMode="External"/><Relationship Id="rId45" Type="http://schemas.openxmlformats.org/officeDocument/2006/relationships/hyperlink" Target="https://www.sec.gov/Archives/edgar/data/1061219/000119312515176176/d924725dex43.htm" TargetMode="External"/><Relationship Id="rId46" Type="http://schemas.openxmlformats.org/officeDocument/2006/relationships/hyperlink" Target="https://www.sec.gov/Archives/edgar/data/1061219/000119312516539391/d159503dex44.htm" TargetMode="External"/><Relationship Id="rId47" Type="http://schemas.openxmlformats.org/officeDocument/2006/relationships/hyperlink" Target="https://www.sec.gov/Archives/edgar/data/1061219/000119312517259253/d443889dex43.htm" TargetMode="External"/><Relationship Id="rId48" Type="http://schemas.openxmlformats.org/officeDocument/2006/relationships/hyperlink" Target="https://www.sec.gov/Archives/edgar/data/1061219/000119312518046800/d528323dex44.htm" TargetMode="External"/><Relationship Id="rId49" Type="http://schemas.openxmlformats.org/officeDocument/2006/relationships/hyperlink" Target="https://www.sec.gov/Archives/edgar/data/1061219/000119312518046800/d528323dex43.htm" TargetMode="External"/><Relationship Id="rId50" Type="http://schemas.openxmlformats.org/officeDocument/2006/relationships/hyperlink" Target="https://www.sec.gov/Archives/edgar/data/1061219/000119312518297371/d626241dex43.htm" TargetMode="External"/><Relationship Id="rId51" Type="http://schemas.openxmlformats.org/officeDocument/2006/relationships/hyperlink" Target="https://www.sec.gov/Archives/edgar/data/1061219/000119312519190249/d754256dex43.htm" TargetMode="External"/><Relationship Id="rId52" Type="http://schemas.openxmlformats.org/officeDocument/2006/relationships/hyperlink" Target="https://www.sec.gov/Archives/edgar/data/1061219/000119312520007702/d120339dex43.htm" TargetMode="External"/><Relationship Id="rId53" Type="http://schemas.openxmlformats.org/officeDocument/2006/relationships/hyperlink" Target="https://www.sec.gov/Archives/edgar/data/1061219/000119312520212694/d946521dex44.htm" TargetMode="External"/><Relationship Id="rId54" Type="http://schemas.openxmlformats.org/officeDocument/2006/relationships/hyperlink" Target="https://www.sec.gov/Archives/edgar/data/0001061219/000119312521273639/d215284dex43.htm" TargetMode="External"/><Relationship Id="rId55" Type="http://schemas.openxmlformats.org/officeDocument/2006/relationships/hyperlink" Target="https://www.sec.gov/Archives/edgar/data/1061219/000119312523005587/d871196dex44.htm" TargetMode="External"/><Relationship Id="rId56" Type="http://schemas.openxmlformats.org/officeDocument/2006/relationships/hyperlink" Target="https://www.sec.gov/Archives/edgar/data/1061219/000119312524006408/d674876dex44.htm" TargetMode="External"/><Relationship Id="rId57" Type="http://schemas.openxmlformats.org/officeDocument/2006/relationships/hyperlink" Target="https://www.sec.gov/Archives/edgar/data/1061219/000119312524196647/d807033dex44.htm" TargetMode="External"/><Relationship Id="rId58" Type="http://schemas.openxmlformats.org/officeDocument/2006/relationships/hyperlink" Target="https://www.sec.gov/Archives/edgar/data/1061219/000119312525143357/d93202dex44.htm" TargetMode="External"/><Relationship Id="rId59" Type="http://schemas.openxmlformats.org/officeDocument/2006/relationships/hyperlink" Target="https://www.sec.gov/Archives/edgar/data/1061219/000119312525143357/d93202dex44.htm" TargetMode="External"/><Relationship Id="rId60" Type="http://schemas.openxmlformats.org/officeDocument/2006/relationships/hyperlink" Target="https://www.sec.gov/Archives/edgar/data/1061219/000095012903001725/h04315exv4w3.txt" TargetMode="External"/><Relationship Id="rId61" Type="http://schemas.openxmlformats.org/officeDocument/2006/relationships/hyperlink" Target="https://www.sec.gov/Archives/edgar/data/1061219/000095012905001997/h23076exv4w19.htm" TargetMode="External"/><Relationship Id="rId62" Type="http://schemas.openxmlformats.org/officeDocument/2006/relationships/hyperlink" Target="https://www.sec.gov/Archives/edgar/data/1061219/000106121905000158/exhibit4-32.htm" TargetMode="External"/><Relationship Id="rId63" Type="http://schemas.openxmlformats.org/officeDocument/2006/relationships/hyperlink" Target="https://www.sec.gov/Archives/edgar/data/1061219/000095012309048189/h68150exv4w3.htm" TargetMode="External"/><Relationship Id="rId64" Type="http://schemas.openxmlformats.org/officeDocument/2006/relationships/hyperlink" Target="https://www.sec.gov/Archives/edgar/data/1061219/000095012309054271/h68298exv4w1.htm" TargetMode="External"/><Relationship Id="rId65" Type="http://schemas.openxmlformats.org/officeDocument/2006/relationships/hyperlink" Target="https://www.sec.gov/Archives/edgar/data/1061219/000095012309054271/h68298exv4w2.htm" TargetMode="External"/><Relationship Id="rId66" Type="http://schemas.openxmlformats.org/officeDocument/2006/relationships/hyperlink" Target="https://www.sec.gov/Archives/edgar/data/1061219/000095012310051426/h73201exv4w3.htm" TargetMode="External"/><Relationship Id="rId67" Type="http://schemas.openxmlformats.org/officeDocument/2006/relationships/hyperlink" Target="https://www.sec.gov/Archives/edgar/data/1061219/000095012311002459/h78817exv4w3.htm" TargetMode="External"/><Relationship Id="rId68" Type="http://schemas.openxmlformats.org/officeDocument/2006/relationships/hyperlink" Target="https://www.sec.gov/Archives/edgar/data/1061219/000095012311079627/h84367exv4w3.htm" TargetMode="External"/><Relationship Id="rId69" Type="http://schemas.openxmlformats.org/officeDocument/2006/relationships/hyperlink" Target="https://www.sec.gov/Archives/edgar/data/1061219/000106121912000015/exhibit4_25.htm" TargetMode="External"/><Relationship Id="rId70" Type="http://schemas.openxmlformats.org/officeDocument/2006/relationships/hyperlink" Target="https://www.sec.gov/Archives/edgar/data/1061219/000119312512351427/d396705dex43.htm" TargetMode="External"/><Relationship Id="rId71" Type="http://schemas.openxmlformats.org/officeDocument/2006/relationships/hyperlink" Target="https://www.sec.gov/Archives/edgar/data/1061219/000119312513111663/d504401dex43.htm" TargetMode="External"/><Relationship Id="rId72" Type="http://schemas.openxmlformats.org/officeDocument/2006/relationships/hyperlink" Target="https://www.sec.gov/Archives/edgar/data/1061219/000119312514047122/d677538dex43.htm" TargetMode="External"/><Relationship Id="rId73" Type="http://schemas.openxmlformats.org/officeDocument/2006/relationships/hyperlink" Target="https://www.sec.gov/Archives/edgar/data/1061219/000119312514370411/d804454dex44.htm" TargetMode="External"/><Relationship Id="rId74" Type="http://schemas.openxmlformats.org/officeDocument/2006/relationships/hyperlink" Target="https://www.sec.gov/Archives/edgar/data/1061219/000119312514370411/d804454dex44.htm" TargetMode="External"/><Relationship Id="rId75" Type="http://schemas.openxmlformats.org/officeDocument/2006/relationships/hyperlink" Target="https://www.sec.gov/Archives/edgar/data/1061219/000119312513111663/d504401dex43.htm" TargetMode="External"/><Relationship Id="rId76" Type="http://schemas.openxmlformats.org/officeDocument/2006/relationships/hyperlink" Target="https://www.sec.gov/Archives/edgar/data/1061219/000119312515176176/d924725dex43.htm" TargetMode="External"/><Relationship Id="rId77" Type="http://schemas.openxmlformats.org/officeDocument/2006/relationships/hyperlink" Target="https://www.sec.gov/Archives/edgar/data/1061219/000119312515176176/d924725dex43.htm" TargetMode="External"/><Relationship Id="rId78" Type="http://schemas.openxmlformats.org/officeDocument/2006/relationships/hyperlink" Target="https://www.sec.gov/Archives/edgar/data/1061219/000119312516539391/d159503dex44.htm" TargetMode="External"/><Relationship Id="rId79" Type="http://schemas.openxmlformats.org/officeDocument/2006/relationships/hyperlink" Target="https://www.sec.gov/Archives/edgar/data/1061219/000119312515176176/d924725dex43.htm" TargetMode="External"/><Relationship Id="rId80" Type="http://schemas.openxmlformats.org/officeDocument/2006/relationships/hyperlink" Target="https://www.sec.gov/Archives/edgar/data/1061219/000119312517259253/d443889dex43.htm" TargetMode="External"/><Relationship Id="rId81" Type="http://schemas.openxmlformats.org/officeDocument/2006/relationships/hyperlink" Target="https://www.sec.gov/Archives/edgar/data/1061219/000119312517259253/d443889dex43.htm" TargetMode="External"/><Relationship Id="rId82" Type="http://schemas.openxmlformats.org/officeDocument/2006/relationships/hyperlink" Target="https://www.sec.gov/Archives/edgar/data/1061219/000119312518046800/d528323dex44.htm" TargetMode="External"/><Relationship Id="rId83" Type="http://schemas.openxmlformats.org/officeDocument/2006/relationships/hyperlink" Target="https://www.sec.gov/Archives/edgar/data/1061219/000119312518046800/d528323dex43.htm" TargetMode="External"/><Relationship Id="rId84" Type="http://schemas.openxmlformats.org/officeDocument/2006/relationships/hyperlink" Target="https://www.sec.gov/Archives/edgar/data/1061219/000119312518297371/d626241dex43.htm" TargetMode="External"/><Relationship Id="rId85" Type="http://schemas.openxmlformats.org/officeDocument/2006/relationships/hyperlink" Target="https://www.sec.gov/Archives/edgar/data/1061219/000119312518297371/d626241dex43.htm" TargetMode="External"/><Relationship Id="rId86" Type="http://schemas.openxmlformats.org/officeDocument/2006/relationships/hyperlink" Target="https://www.sec.gov/Archives/edgar/data/1061219/000119312519190249/d754256dex43.htm" TargetMode="External"/><Relationship Id="rId87" Type="http://schemas.openxmlformats.org/officeDocument/2006/relationships/hyperlink" Target="https://www.sec.gov/Archives/edgar/data/1061219/000119312519190249/d754256dex43.htm" TargetMode="External"/><Relationship Id="rId88" Type="http://schemas.openxmlformats.org/officeDocument/2006/relationships/hyperlink" Target="https://www.sec.gov/Archives/edgar/data/1061219/000119312520007702/d120339dex43.htm" TargetMode="External"/><Relationship Id="rId89" Type="http://schemas.openxmlformats.org/officeDocument/2006/relationships/hyperlink" Target="https://www.sec.gov/Archives/edgar/data/1061219/000119312520007702/d120339dex43.htm" TargetMode="External"/><Relationship Id="rId90" Type="http://schemas.openxmlformats.org/officeDocument/2006/relationships/hyperlink" Target="https://www.sec.gov/Archives/edgar/data/1061219/000119312520007702/d120339dex43.htm" TargetMode="External"/><Relationship Id="rId91" Type="http://schemas.openxmlformats.org/officeDocument/2006/relationships/hyperlink" Target="https://www.sec.gov/Archives/edgar/data/1061219/000119312520007702/d120339dex43.htm" TargetMode="External"/><Relationship Id="rId92" Type="http://schemas.openxmlformats.org/officeDocument/2006/relationships/hyperlink" Target="https://www.sec.gov/Archives/edgar/data/1061219/000119312520212694/d946521dex44.htm" TargetMode="External"/><Relationship Id="rId93" Type="http://schemas.openxmlformats.org/officeDocument/2006/relationships/hyperlink" Target="https://www.sec.gov/Archives/edgar/data/0001061219/000119312521273639/d215284dex43.htm" TargetMode="External"/><Relationship Id="rId94" Type="http://schemas.openxmlformats.org/officeDocument/2006/relationships/hyperlink" Target="https://www.sec.gov/Archives/edgar/data/1061219/000119312523005587/d871196dex44.htm" TargetMode="External"/><Relationship Id="rId95" Type="http://schemas.openxmlformats.org/officeDocument/2006/relationships/hyperlink" Target="https://www.sec.gov/Archives/edgar/data/1061219/000119312523005587/d871196dex44.htm" TargetMode="External"/><Relationship Id="rId96" Type="http://schemas.openxmlformats.org/officeDocument/2006/relationships/hyperlink" Target="https://www.sec.gov/Archives/edgar/data/1061219/000119312524006408/d674876dex44.htm" TargetMode="External"/><Relationship Id="rId97" Type="http://schemas.openxmlformats.org/officeDocument/2006/relationships/hyperlink" Target="https://www.sec.gov/Archives/edgar/data/1061219/000119312524006408/d674876dex44.htm" TargetMode="External"/><Relationship Id="rId98" Type="http://schemas.openxmlformats.org/officeDocument/2006/relationships/hyperlink" Target="https://www.sec.gov/Archives/edgar/data/1061219/000119312524196647/d807033dex44.htm" TargetMode="External"/><Relationship Id="rId99" Type="http://schemas.openxmlformats.org/officeDocument/2006/relationships/hyperlink" Target="https://www.sec.gov/Archives/edgar/data/1061219/000119312524196647/d807033dex44.htm" TargetMode="External"/><Relationship Id="rId100" Type="http://schemas.openxmlformats.org/officeDocument/2006/relationships/hyperlink" Target="https://www.sec.gov/Archives/edgar/data/1061219/000119312525143357/d93202dex44.htm" TargetMode="External"/><Relationship Id="rId101" Type="http://schemas.openxmlformats.org/officeDocument/2006/relationships/hyperlink" Target="https://www.sec.gov/Archives/edgar/data/1061219/000119312525143357/d93202dex44.htm" TargetMode="External"/><Relationship Id="rId102" Type="http://schemas.openxmlformats.org/officeDocument/2006/relationships/hyperlink" Target="https://www.sec.gov/Archives/edgar/data/1061219/000119312525143357/d93202dex44.htm" TargetMode="External"/><Relationship Id="rId103" Type="http://schemas.openxmlformats.org/officeDocument/2006/relationships/hyperlink" Target="https://www.sec.gov/Archives/edgar/data/1061219/000119312525143357/d93202dex44.htm" TargetMode="External"/><Relationship Id="rId104" Type="http://schemas.openxmlformats.org/officeDocument/2006/relationships/hyperlink" Target="https://www.sec.gov/Archives/edgar/data/1061219/000119312525143357/d93202dex44.htm" TargetMode="External"/><Relationship Id="rId105" Type="http://schemas.openxmlformats.org/officeDocument/2006/relationships/hyperlink" Target="https://www.sec.gov/Archives/edgar/data/1061219/000119312525143357/d93202dex44.htm" TargetMode="External"/><Relationship Id="rId106" Type="http://schemas.openxmlformats.org/officeDocument/2006/relationships/hyperlink" Target="https://www.sec.gov/Archives/edgar/data/1061219/000119312525143357/d93202dex44.htm" TargetMode="External"/><Relationship Id="rId107" Type="http://schemas.openxmlformats.org/officeDocument/2006/relationships/hyperlink" Target="https://www.sec.gov/Archives/edgar/data/1061219/000119312525143357/d93202dex44.htm" TargetMode="External"/><Relationship Id="rId108" Type="http://schemas.openxmlformats.org/officeDocument/2006/relationships/hyperlink" Target="https://www.sec.gov/Archives/edgar/data/1061219/000119312525143357/d93202dex44.htm" TargetMode="External"/><Relationship Id="rId109" Type="http://schemas.openxmlformats.org/officeDocument/2006/relationships/hyperlink" Target="https://www.sec.gov/Archives/edgar/data/1061219/000119312525143357/d93202dex44.htm" TargetMode="External"/><Relationship Id="rId110" Type="http://schemas.openxmlformats.org/officeDocument/2006/relationships/hyperlink" Target="https://www.sec.gov/Archives/edgar/data/1061219/000119312525143357/d93202dex44.htm" TargetMode="External"/><Relationship Id="rId111" Type="http://schemas.openxmlformats.org/officeDocument/2006/relationships/hyperlink" Target="https://www.sec.gov/Archives/edgar/data/1061219/000119312525143357/d93202dex44.htm" TargetMode="External"/><Relationship Id="rId112" Type="http://schemas.openxmlformats.org/officeDocument/2006/relationships/hyperlink" Target="https://www.sec.gov/Archives/edgar/data/1061219/000119312525143357/d93202dex44.htm" TargetMode="External"/><Relationship Id="rId113" Type="http://schemas.openxmlformats.org/officeDocument/2006/relationships/hyperlink" Target="https://www.sec.gov/Archives/edgar/data/1061219/000119312525143357/d93202dex44.htm" TargetMode="External"/><Relationship Id="rId114" Type="http://schemas.openxmlformats.org/officeDocument/2006/relationships/hyperlink" Target="https://www.sec.gov/Archives/edgar/data/1061219/000119312525143357/d93202dex44.htm" TargetMode="External"/><Relationship Id="rId115" Type="http://schemas.openxmlformats.org/officeDocument/2006/relationships/hyperlink" Target="https://www.sec.gov/Archives/edgar/data/1061219/000119312525143357/d93202dex44.htm" TargetMode="External"/><Relationship Id="rId116" Type="http://schemas.openxmlformats.org/officeDocument/2006/relationships/hyperlink" Target="https://www.sec.gov/Archives/edgar/data/1061219/000119312525143357/d93202dex44.htm" TargetMode="External"/><Relationship Id="rId117" Type="http://schemas.openxmlformats.org/officeDocument/2006/relationships/hyperlink" Target="https://www.sec.gov/Archives/edgar/data/1061219/000119312525143357/d93202dex44.htm" TargetMode="External"/><Relationship Id="rId118" Type="http://schemas.openxmlformats.org/officeDocument/2006/relationships/hyperlink" Target="https://www.sec.gov/Archives/edgar/data/1061219/000119312525143357/d93202dex44.htm" TargetMode="External"/><Relationship Id="rId119" Type="http://schemas.openxmlformats.org/officeDocument/2006/relationships/hyperlink" Target="https://www.sec.gov/Archives/edgar/data/1061219/000119312525143357/d93202dex44.htm" TargetMode="External"/><Relationship Id="rId120" Type="http://schemas.openxmlformats.org/officeDocument/2006/relationships/hyperlink" Target="https://www.sec.gov/Archives/edgar/data/1061219/000119312525143357/d93202dex44.htm" TargetMode="External"/><Relationship Id="rId121" Type="http://schemas.openxmlformats.org/officeDocument/2006/relationships/hyperlink" Target="https://www.sec.gov/Archives/edgar/data/1061219/000119312525143357/d93202dex44.htm" TargetMode="External"/><Relationship Id="rId122" Type="http://schemas.openxmlformats.org/officeDocument/2006/relationships/hyperlink" Target="https://www.sec.gov/Archives/edgar/data/1061219/000119312525143357/d93202dex44.htm" TargetMode="External"/><Relationship Id="rId123" Type="http://schemas.openxmlformats.org/officeDocument/2006/relationships/hyperlink" Target="https://www.sec.gov/Archives/edgar/data/1061219/000119312525143357/d93202dex44.htm" TargetMode="External"/><Relationship Id="rId124" Type="http://schemas.openxmlformats.org/officeDocument/2006/relationships/hyperlink" Target="https://www.sec.gov/Archives/edgar/data/1061219/000119312525143357/d93202dex44.htm" TargetMode="External"/><Relationship Id="rId125" Type="http://schemas.openxmlformats.org/officeDocument/2006/relationships/hyperlink" Target="https://www.sec.gov/Archives/edgar/data/1061219/000119312525143357/d93202dex44.htm" TargetMode="External"/><Relationship Id="rId126" Type="http://schemas.openxmlformats.org/officeDocument/2006/relationships/hyperlink" Target="https://www.sec.gov/Archives/edgar/data/1061219/000119312525143357/d93202dex44.htm" TargetMode="External"/><Relationship Id="rId127" Type="http://schemas.openxmlformats.org/officeDocument/2006/relationships/hyperlink" Target="https://www.sec.gov/Archives/edgar/data/1061219/000119312525143357/d93202dex44.htm" TargetMode="External"/><Relationship Id="rId128" Type="http://schemas.openxmlformats.org/officeDocument/2006/relationships/hyperlink" Target="https://www.sec.gov/Archives/edgar/data/1061219/000119312525143357/d93202dex44.htm" TargetMode="External"/><Relationship Id="rId129" Type="http://schemas.openxmlformats.org/officeDocument/2006/relationships/hyperlink" Target="https://www.sec.gov/Archives/edgar/data/1061219/000119312525143357/d93202dex44.htm" TargetMode="External"/><Relationship Id="rId130" Type="http://schemas.openxmlformats.org/officeDocument/2006/relationships/hyperlink" Target="https://www.sec.gov/Archives/edgar/data/1061219/000119312525143357/d93202dex44.htm" TargetMode="External"/><Relationship Id="rId131" Type="http://schemas.openxmlformats.org/officeDocument/2006/relationships/hyperlink" Target="https://www.sec.gov/Archives/edgar/data/1061219/000119312525143357/d93202dex44.htm" TargetMode="External"/><Relationship Id="rId132" Type="http://schemas.openxmlformats.org/officeDocument/2006/relationships/hyperlink" Target="https://www.sec.gov/Archives/edgar/data/1061219/000095012309054271/h68298exv4w9.htm" TargetMode="External"/><Relationship Id="rId133" Type="http://schemas.openxmlformats.org/officeDocument/2006/relationships/hyperlink" Target="https://www.sec.gov/Archives/edgar/data/1061219/000106121915000017/exhibit4_59.htm" TargetMode="External"/><Relationship Id="rId134" Type="http://schemas.openxmlformats.org/officeDocument/2006/relationships/hyperlink" Target="https://www.sec.gov/Archives/edgar/data/1061219/000119312520261373/d170716dex31.htm" TargetMode="External"/><Relationship Id="rId135" Type="http://schemas.openxmlformats.org/officeDocument/2006/relationships/hyperlink" Target="https://www.sec.gov/Archives/edgar/data/1061219/000106121926000017/epd-20260730xex101.htm" TargetMode="External"/><Relationship Id="rId136" Type="http://schemas.openxmlformats.org/officeDocument/2006/relationships/hyperlink" Target="https://www.sec.gov/Archives/edgar/data/1061219/000106121926000017/epd-20260730xex102.htm" TargetMode="External"/><Relationship Id="rId137" Type="http://schemas.openxmlformats.org/officeDocument/2006/relationships/fontTable" Target="fontTable.xml"/><Relationship Id="rId1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40130</Words>
  <Characters>223304</Characters>
  <CharactersWithSpaces>259786</CharactersWithSpaces>
  <Paragraphs>6084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